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DCC59">
      <w:pPr>
        <w:pStyle w:val="13"/>
        <w:adjustRightInd w:val="0"/>
        <w:snapToGrid w:val="0"/>
        <w:spacing w:line="360" w:lineRule="auto"/>
        <w:jc w:val="center"/>
        <w:rPr>
          <w:rFonts w:hint="eastAsia" w:ascii="方正小标宋_GBK" w:hAnsi="华文中宋" w:eastAsia="方正小标宋_GBK"/>
          <w:b/>
          <w:bCs/>
          <w:sz w:val="76"/>
          <w:szCs w:val="84"/>
          <w:lang w:val="en-US" w:eastAsia="zh-CN"/>
        </w:rPr>
      </w:pPr>
    </w:p>
    <w:p w14:paraId="20E99E8B">
      <w:pPr>
        <w:rPr>
          <w:rFonts w:hint="eastAsia"/>
          <w:lang w:val="en-US" w:eastAsia="zh-CN"/>
        </w:rPr>
      </w:pPr>
    </w:p>
    <w:p w14:paraId="23DD0C0A">
      <w:pPr>
        <w:pStyle w:val="13"/>
        <w:adjustRightInd w:val="0"/>
        <w:snapToGrid w:val="0"/>
        <w:spacing w:line="360" w:lineRule="auto"/>
        <w:jc w:val="center"/>
        <w:rPr>
          <w:rFonts w:hint="eastAsia" w:ascii="方正小标宋_GBK" w:hAnsi="华文中宋" w:eastAsia="方正小标宋_GBK"/>
          <w:b/>
          <w:bCs/>
          <w:sz w:val="76"/>
          <w:szCs w:val="84"/>
          <w:lang w:val="en-US" w:eastAsia="zh-CN"/>
        </w:rPr>
      </w:pPr>
      <w:r>
        <w:rPr>
          <w:rFonts w:hint="eastAsia" w:ascii="方正小标宋_GBK" w:hAnsi="华文中宋" w:eastAsia="方正小标宋_GBK"/>
          <w:b/>
          <w:bCs/>
          <w:sz w:val="76"/>
          <w:szCs w:val="84"/>
          <w:lang w:val="en-US" w:eastAsia="zh-CN"/>
        </w:rPr>
        <w:t>工程类</w:t>
      </w:r>
    </w:p>
    <w:p w14:paraId="0AD2B1B6">
      <w:pPr>
        <w:pStyle w:val="13"/>
        <w:adjustRightInd w:val="0"/>
        <w:snapToGrid w:val="0"/>
        <w:spacing w:line="360" w:lineRule="auto"/>
        <w:jc w:val="center"/>
        <w:rPr>
          <w:rFonts w:ascii="方正小标宋_GBK" w:hAnsi="华文中宋" w:eastAsia="方正小标宋_GBK"/>
          <w:b/>
          <w:bCs/>
          <w:sz w:val="76"/>
          <w:szCs w:val="84"/>
        </w:rPr>
      </w:pPr>
      <w:r>
        <w:rPr>
          <w:rFonts w:hint="eastAsia" w:ascii="方正小标宋_GBK" w:hAnsi="华文中宋" w:eastAsia="方正小标宋_GBK"/>
          <w:b/>
          <w:bCs/>
          <w:sz w:val="76"/>
          <w:szCs w:val="84"/>
        </w:rPr>
        <w:t>竞争性</w:t>
      </w:r>
      <w:r>
        <w:rPr>
          <w:rFonts w:hint="eastAsia" w:ascii="方正小标宋_GBK" w:hAnsi="华文中宋" w:eastAsia="方正小标宋_GBK"/>
          <w:b/>
          <w:bCs/>
          <w:sz w:val="76"/>
          <w:szCs w:val="84"/>
          <w:lang w:eastAsia="zh-CN"/>
        </w:rPr>
        <w:t>磋商</w:t>
      </w:r>
      <w:r>
        <w:rPr>
          <w:rFonts w:hint="eastAsia" w:ascii="方正小标宋_GBK" w:hAnsi="华文中宋" w:eastAsia="方正小标宋_GBK"/>
          <w:b/>
          <w:bCs/>
          <w:sz w:val="76"/>
          <w:szCs w:val="84"/>
        </w:rPr>
        <w:t>文件</w:t>
      </w:r>
    </w:p>
    <w:p w14:paraId="2DB74DC3">
      <w:pPr>
        <w:pStyle w:val="13"/>
        <w:adjustRightInd w:val="0"/>
        <w:snapToGrid w:val="0"/>
        <w:spacing w:beforeLines="50" w:line="360" w:lineRule="auto"/>
        <w:ind w:left="846" w:leftChars="403" w:firstLine="156" w:firstLineChars="49"/>
        <w:rPr>
          <w:b/>
          <w:sz w:val="32"/>
          <w:szCs w:val="32"/>
        </w:rPr>
      </w:pPr>
    </w:p>
    <w:p w14:paraId="0DAE6B35">
      <w:pPr>
        <w:spacing w:line="360" w:lineRule="auto"/>
        <w:rPr>
          <w:rFonts w:ascii="宋体" w:cs="宋体"/>
          <w:sz w:val="24"/>
        </w:rPr>
      </w:pPr>
    </w:p>
    <w:p w14:paraId="089216FC">
      <w:pPr>
        <w:pStyle w:val="13"/>
        <w:spacing w:line="480" w:lineRule="auto"/>
        <w:ind w:firstLine="1120" w:firstLineChars="400"/>
        <w:rPr>
          <w:rFonts w:hint="eastAsia" w:cs="宋体"/>
          <w:b/>
          <w:bCs/>
          <w:color w:val="auto"/>
          <w:sz w:val="28"/>
          <w:szCs w:val="28"/>
          <w:u w:val="single"/>
          <w:lang w:eastAsia="zh-CN"/>
        </w:rPr>
      </w:pPr>
      <w:r>
        <w:rPr>
          <w:rFonts w:hint="eastAsia" w:cs="宋体"/>
          <w:b/>
          <w:bCs/>
          <w:color w:val="auto"/>
          <w:sz w:val="28"/>
          <w:szCs w:val="28"/>
        </w:rPr>
        <w:t>采</w:t>
      </w:r>
      <w:r>
        <w:rPr>
          <w:rFonts w:cs="宋体"/>
          <w:b/>
          <w:bCs/>
          <w:color w:val="auto"/>
          <w:sz w:val="28"/>
          <w:szCs w:val="28"/>
        </w:rPr>
        <w:t>购项目名称：</w:t>
      </w:r>
      <w:r>
        <w:rPr>
          <w:rFonts w:hint="eastAsia" w:cs="宋体"/>
          <w:b/>
          <w:bCs/>
          <w:color w:val="auto"/>
          <w:sz w:val="28"/>
          <w:szCs w:val="28"/>
          <w:u w:val="single"/>
          <w:lang w:eastAsia="zh-CN"/>
        </w:rPr>
        <w:t>鹤北新城城中村改造安置区配电工程（外线部分）（第三次）</w:t>
      </w:r>
    </w:p>
    <w:p w14:paraId="24B11449">
      <w:pPr>
        <w:pStyle w:val="13"/>
        <w:spacing w:line="480" w:lineRule="auto"/>
        <w:ind w:firstLine="1120" w:firstLineChars="400"/>
        <w:rPr>
          <w:rFonts w:hint="eastAsia" w:eastAsia="宋体" w:cs="宋体"/>
          <w:b/>
          <w:bCs/>
          <w:color w:val="auto"/>
          <w:sz w:val="28"/>
          <w:szCs w:val="28"/>
          <w:u w:val="single"/>
          <w:lang w:eastAsia="zh-CN"/>
        </w:rPr>
      </w:pPr>
      <w:r>
        <w:rPr>
          <w:rFonts w:cs="宋体"/>
          <w:b/>
          <w:bCs/>
          <w:color w:val="auto"/>
          <w:sz w:val="28"/>
          <w:szCs w:val="28"/>
        </w:rPr>
        <w:t xml:space="preserve">采   购 </w:t>
      </w:r>
      <w:r>
        <w:rPr>
          <w:rFonts w:hint="eastAsia" w:cs="宋体"/>
          <w:b/>
          <w:bCs/>
          <w:color w:val="auto"/>
          <w:sz w:val="28"/>
          <w:szCs w:val="28"/>
          <w:lang w:val="en-US" w:eastAsia="zh-CN"/>
        </w:rPr>
        <w:t xml:space="preserve"> </w:t>
      </w:r>
      <w:r>
        <w:rPr>
          <w:rFonts w:cs="宋体"/>
          <w:b/>
          <w:bCs/>
          <w:color w:val="auto"/>
          <w:sz w:val="28"/>
          <w:szCs w:val="28"/>
        </w:rPr>
        <w:t xml:space="preserve"> 人：</w:t>
      </w:r>
      <w:r>
        <w:rPr>
          <w:rFonts w:hint="eastAsia" w:cs="宋体"/>
          <w:b/>
          <w:bCs/>
          <w:color w:val="auto"/>
          <w:sz w:val="28"/>
          <w:szCs w:val="28"/>
          <w:u w:val="single"/>
          <w:lang w:eastAsia="zh-CN"/>
        </w:rPr>
        <w:t>怀化市鹤城区城市建设投资有限公司</w:t>
      </w:r>
    </w:p>
    <w:p w14:paraId="75304791">
      <w:pPr>
        <w:pStyle w:val="13"/>
        <w:spacing w:line="480" w:lineRule="auto"/>
        <w:ind w:firstLine="1120" w:firstLineChars="400"/>
        <w:rPr>
          <w:rFonts w:hint="default" w:ascii="宋体" w:hAnsi="宋体" w:eastAsia="宋体" w:cs="宋体"/>
          <w:b/>
          <w:bCs/>
          <w:color w:val="auto"/>
          <w:sz w:val="28"/>
          <w:szCs w:val="28"/>
          <w:u w:val="single"/>
          <w:lang w:val="en-US" w:eastAsia="zh-CN"/>
        </w:rPr>
      </w:pPr>
      <w:r>
        <w:rPr>
          <w:rFonts w:hint="eastAsia" w:hAnsi="宋体" w:cs="宋体"/>
          <w:b/>
          <w:bCs/>
          <w:color w:val="auto"/>
          <w:sz w:val="28"/>
          <w:szCs w:val="28"/>
          <w:u w:val="none"/>
          <w:lang w:val="en-US" w:eastAsia="zh-CN"/>
        </w:rPr>
        <w:t>采 购  编 号：</w:t>
      </w:r>
      <w:r>
        <w:rPr>
          <w:rFonts w:hint="eastAsia" w:hAnsi="宋体" w:cs="宋体"/>
          <w:b/>
          <w:bCs/>
          <w:color w:val="auto"/>
          <w:sz w:val="28"/>
          <w:szCs w:val="28"/>
          <w:u w:val="single"/>
          <w:lang w:val="en-US" w:eastAsia="zh-CN"/>
        </w:rPr>
        <w:t>2025-07</w:t>
      </w:r>
    </w:p>
    <w:p w14:paraId="0B95C42F">
      <w:pPr>
        <w:pStyle w:val="13"/>
        <w:spacing w:line="480" w:lineRule="auto"/>
        <w:ind w:firstLine="1120" w:firstLineChars="400"/>
        <w:rPr>
          <w:rFonts w:hint="default"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u w:val="none"/>
          <w:lang w:eastAsia="zh-CN"/>
        </w:rPr>
        <w:t>委托代理编号：</w:t>
      </w:r>
      <w:r>
        <w:rPr>
          <w:rFonts w:hint="eastAsia" w:hAnsi="宋体" w:cs="宋体"/>
          <w:b/>
          <w:bCs/>
          <w:color w:val="auto"/>
          <w:sz w:val="28"/>
          <w:szCs w:val="28"/>
          <w:u w:val="single"/>
          <w:lang w:val="en-US" w:eastAsia="zh-CN"/>
        </w:rPr>
        <w:t>2025-CZ-137</w:t>
      </w:r>
    </w:p>
    <w:p w14:paraId="5C4CF33D">
      <w:pPr>
        <w:pStyle w:val="13"/>
        <w:spacing w:line="480" w:lineRule="auto"/>
        <w:rPr>
          <w:rFonts w:hint="eastAsia" w:eastAsia="宋体" w:cs="宋体"/>
          <w:b/>
          <w:bCs/>
          <w:color w:val="auto"/>
          <w:sz w:val="28"/>
          <w:szCs w:val="28"/>
          <w:u w:val="single"/>
          <w:lang w:eastAsia="zh-CN"/>
        </w:rPr>
      </w:pPr>
      <w:r>
        <w:rPr>
          <w:rFonts w:cs="宋体"/>
          <w:b/>
          <w:bCs/>
          <w:color w:val="auto"/>
          <w:sz w:val="28"/>
          <w:szCs w:val="28"/>
        </w:rPr>
        <w:t xml:space="preserve">   </w:t>
      </w:r>
      <w:r>
        <w:rPr>
          <w:rFonts w:hint="eastAsia" w:cs="宋体"/>
          <w:b/>
          <w:bCs/>
          <w:color w:val="auto"/>
          <w:sz w:val="28"/>
          <w:szCs w:val="28"/>
          <w:lang w:val="en-US" w:eastAsia="zh-CN"/>
        </w:rPr>
        <w:t xml:space="preserve">     </w:t>
      </w:r>
      <w:r>
        <w:rPr>
          <w:rFonts w:cs="宋体"/>
          <w:b/>
          <w:bCs/>
          <w:color w:val="auto"/>
          <w:sz w:val="28"/>
          <w:szCs w:val="28"/>
        </w:rPr>
        <w:t>采购代理机构：</w:t>
      </w:r>
      <w:r>
        <w:rPr>
          <w:rFonts w:hint="eastAsia" w:cs="宋体"/>
          <w:b/>
          <w:bCs/>
          <w:color w:val="auto"/>
          <w:sz w:val="28"/>
          <w:szCs w:val="28"/>
          <w:u w:val="single"/>
          <w:lang w:eastAsia="zh-CN"/>
        </w:rPr>
        <w:t>湖南辰洲项目管理有限公司</w:t>
      </w:r>
    </w:p>
    <w:p w14:paraId="7F5A8554">
      <w:pPr>
        <w:pStyle w:val="13"/>
        <w:spacing w:line="360" w:lineRule="auto"/>
        <w:jc w:val="both"/>
        <w:rPr>
          <w:rFonts w:hint="eastAsia" w:cs="宋体"/>
          <w:b/>
          <w:color w:val="auto"/>
          <w:sz w:val="32"/>
          <w:lang w:val="en-US" w:eastAsia="zh-CN"/>
        </w:rPr>
      </w:pPr>
    </w:p>
    <w:p w14:paraId="75D04554">
      <w:pPr>
        <w:rPr>
          <w:b/>
          <w:bCs w:val="0"/>
          <w:sz w:val="32"/>
          <w:szCs w:val="32"/>
          <w:lang w:val="en-US"/>
        </w:rPr>
      </w:pPr>
    </w:p>
    <w:p w14:paraId="27C369DC">
      <w:pPr>
        <w:pStyle w:val="21"/>
        <w:rPr>
          <w:lang w:val="en-US"/>
        </w:rPr>
      </w:pPr>
    </w:p>
    <w:p w14:paraId="361D8B6E">
      <w:pPr>
        <w:pStyle w:val="21"/>
        <w:rPr>
          <w:lang w:val="en-US"/>
        </w:rPr>
      </w:pPr>
    </w:p>
    <w:p w14:paraId="02C42AB2">
      <w:pPr>
        <w:rPr>
          <w:lang w:val="en-US"/>
        </w:rPr>
      </w:pPr>
    </w:p>
    <w:p w14:paraId="04440407">
      <w:pPr>
        <w:adjustRightInd w:val="0"/>
        <w:snapToGrid w:val="0"/>
        <w:spacing w:line="360" w:lineRule="auto"/>
        <w:jc w:val="center"/>
        <w:rPr>
          <w:rFonts w:ascii="宋体" w:hAnsi="宋体" w:cs="Courier New"/>
          <w:b/>
          <w:color w:val="auto"/>
          <w:sz w:val="32"/>
          <w:szCs w:val="21"/>
        </w:rPr>
      </w:pPr>
      <w:r>
        <w:rPr>
          <w:rFonts w:hint="eastAsia" w:ascii="宋体" w:hAnsi="宋体" w:cs="Courier New"/>
          <w:b/>
          <w:color w:val="auto"/>
          <w:sz w:val="32"/>
          <w:szCs w:val="21"/>
          <w:lang w:val="en-US" w:eastAsia="zh-CN"/>
        </w:rPr>
        <w:t>2025</w:t>
      </w:r>
      <w:r>
        <w:rPr>
          <w:rFonts w:hint="eastAsia" w:ascii="宋体" w:hAnsi="宋体" w:cs="Courier New"/>
          <w:b/>
          <w:color w:val="auto"/>
          <w:sz w:val="32"/>
          <w:szCs w:val="21"/>
        </w:rPr>
        <w:t xml:space="preserve">年 </w:t>
      </w:r>
      <w:r>
        <w:rPr>
          <w:rFonts w:hint="eastAsia" w:ascii="宋体" w:hAnsi="宋体" w:cs="Courier New"/>
          <w:b/>
          <w:color w:val="auto"/>
          <w:sz w:val="32"/>
          <w:szCs w:val="21"/>
          <w:lang w:val="en-US" w:eastAsia="zh-CN"/>
        </w:rPr>
        <w:t>12</w:t>
      </w:r>
      <w:r>
        <w:rPr>
          <w:rFonts w:hint="eastAsia" w:ascii="宋体" w:hAnsi="宋体" w:cs="Courier New"/>
          <w:b/>
          <w:color w:val="auto"/>
          <w:sz w:val="32"/>
          <w:szCs w:val="21"/>
        </w:rPr>
        <w:t xml:space="preserve"> 月</w:t>
      </w:r>
    </w:p>
    <w:p w14:paraId="7C0AB8D0">
      <w:pPr>
        <w:spacing w:line="360" w:lineRule="auto"/>
        <w:jc w:val="center"/>
        <w:rPr>
          <w:rFonts w:ascii="宋体"/>
          <w:b/>
          <w:sz w:val="32"/>
        </w:rPr>
      </w:pPr>
    </w:p>
    <w:p w14:paraId="5D60F6E3">
      <w:pPr>
        <w:pStyle w:val="13"/>
        <w:adjustRightInd w:val="0"/>
        <w:snapToGrid w:val="0"/>
        <w:spacing w:line="360" w:lineRule="auto"/>
        <w:jc w:val="center"/>
        <w:rPr>
          <w:rFonts w:hint="eastAsia" w:ascii="黑体" w:hAnsi="黑体" w:eastAsia="黑体" w:cs="黑体"/>
          <w:spacing w:val="160"/>
          <w:sz w:val="36"/>
          <w:szCs w:val="36"/>
        </w:rPr>
      </w:pPr>
      <w:r>
        <w:rPr>
          <w:rFonts w:hint="eastAsia" w:ascii="黑体" w:hAnsi="黑体" w:eastAsia="黑体" w:cs="黑体"/>
          <w:spacing w:val="160"/>
          <w:sz w:val="36"/>
          <w:szCs w:val="36"/>
        </w:rPr>
        <w:t>目录</w:t>
      </w:r>
    </w:p>
    <w:p w14:paraId="60E7D52E">
      <w:pPr>
        <w:spacing w:line="360" w:lineRule="exact"/>
        <w:rPr>
          <w:rFonts w:hint="eastAsia" w:ascii="黑体" w:eastAsia="黑体"/>
          <w:b/>
          <w:sz w:val="22"/>
          <w:szCs w:val="22"/>
        </w:rPr>
      </w:pPr>
    </w:p>
    <w:p w14:paraId="2521FC5E">
      <w:pPr>
        <w:pStyle w:val="17"/>
        <w:tabs>
          <w:tab w:val="right" w:leader="dot" w:pos="9070"/>
        </w:tabs>
        <w:rPr>
          <w:sz w:val="28"/>
          <w:szCs w:val="28"/>
        </w:rPr>
      </w:pPr>
      <w:r>
        <w:rPr>
          <w:rFonts w:hint="eastAsia" w:ascii="黑体" w:eastAsia="黑体"/>
          <w:b/>
          <w:sz w:val="32"/>
          <w:szCs w:val="32"/>
        </w:rPr>
        <w:fldChar w:fldCharType="begin"/>
      </w:r>
      <w:r>
        <w:rPr>
          <w:rFonts w:hint="eastAsia" w:ascii="黑体" w:eastAsia="黑体"/>
          <w:b/>
          <w:sz w:val="32"/>
          <w:szCs w:val="32"/>
        </w:rPr>
        <w:instrText xml:space="preserve">TOC \o "1-2" \h \u </w:instrText>
      </w:r>
      <w:r>
        <w:rPr>
          <w:rFonts w:hint="eastAsia" w:ascii="黑体" w:eastAsia="黑体"/>
          <w:b/>
          <w:sz w:val="32"/>
          <w:szCs w:val="32"/>
        </w:rPr>
        <w:fldChar w:fldCharType="separate"/>
      </w:r>
      <w:r>
        <w:rPr>
          <w:rFonts w:hint="eastAsia" w:ascii="黑体" w:eastAsia="黑体"/>
          <w:sz w:val="28"/>
          <w:szCs w:val="28"/>
        </w:rPr>
        <w:fldChar w:fldCharType="begin"/>
      </w:r>
      <w:r>
        <w:rPr>
          <w:rFonts w:hint="eastAsia" w:ascii="黑体" w:eastAsia="黑体"/>
          <w:sz w:val="28"/>
          <w:szCs w:val="28"/>
        </w:rPr>
        <w:instrText xml:space="preserve"> HYPERLINK \l _Toc27003 </w:instrText>
      </w:r>
      <w:r>
        <w:rPr>
          <w:rFonts w:hint="eastAsia" w:ascii="黑体" w:eastAsia="黑体"/>
          <w:sz w:val="28"/>
          <w:szCs w:val="28"/>
        </w:rPr>
        <w:fldChar w:fldCharType="separate"/>
      </w:r>
      <w:r>
        <w:rPr>
          <w:rFonts w:hint="eastAsia"/>
          <w:bCs w:val="0"/>
          <w:sz w:val="28"/>
          <w:szCs w:val="28"/>
          <w:lang w:eastAsia="zh-CN"/>
        </w:rPr>
        <w:t>第一章</w:t>
      </w:r>
      <w:r>
        <w:rPr>
          <w:rFonts w:hint="eastAsia"/>
          <w:bCs w:val="0"/>
          <w:sz w:val="28"/>
          <w:szCs w:val="28"/>
          <w:lang w:val="en-US" w:eastAsia="zh-CN"/>
        </w:rPr>
        <w:t xml:space="preserve">  </w:t>
      </w:r>
      <w:r>
        <w:rPr>
          <w:rFonts w:hint="eastAsia"/>
          <w:bCs w:val="0"/>
          <w:sz w:val="28"/>
          <w:szCs w:val="28"/>
        </w:rPr>
        <w:t>磋商邀请</w:t>
      </w:r>
      <w:r>
        <w:rPr>
          <w:sz w:val="28"/>
          <w:szCs w:val="28"/>
        </w:rPr>
        <w:tab/>
      </w:r>
      <w:r>
        <w:rPr>
          <w:sz w:val="28"/>
          <w:szCs w:val="28"/>
        </w:rPr>
        <w:fldChar w:fldCharType="begin"/>
      </w:r>
      <w:r>
        <w:rPr>
          <w:sz w:val="28"/>
          <w:szCs w:val="28"/>
        </w:rPr>
        <w:instrText xml:space="preserve"> PAGEREF _Toc27003 \h </w:instrText>
      </w:r>
      <w:r>
        <w:rPr>
          <w:sz w:val="28"/>
          <w:szCs w:val="28"/>
        </w:rPr>
        <w:fldChar w:fldCharType="separate"/>
      </w:r>
      <w:r>
        <w:rPr>
          <w:sz w:val="28"/>
          <w:szCs w:val="28"/>
        </w:rPr>
        <w:t>1</w:t>
      </w:r>
      <w:r>
        <w:rPr>
          <w:sz w:val="28"/>
          <w:szCs w:val="28"/>
        </w:rPr>
        <w:fldChar w:fldCharType="end"/>
      </w:r>
      <w:r>
        <w:rPr>
          <w:rFonts w:hint="eastAsia" w:ascii="黑体" w:eastAsia="黑体"/>
          <w:sz w:val="28"/>
          <w:szCs w:val="28"/>
        </w:rPr>
        <w:fldChar w:fldCharType="end"/>
      </w:r>
    </w:p>
    <w:p w14:paraId="10288014">
      <w:pPr>
        <w:pStyle w:val="17"/>
        <w:tabs>
          <w:tab w:val="right" w:leader="dot" w:pos="9070"/>
        </w:tabs>
        <w:rPr>
          <w:sz w:val="28"/>
          <w:szCs w:val="28"/>
        </w:rPr>
      </w:pPr>
      <w:r>
        <w:rPr>
          <w:rFonts w:hint="eastAsia" w:ascii="黑体" w:eastAsia="黑体"/>
          <w:sz w:val="28"/>
          <w:szCs w:val="28"/>
        </w:rPr>
        <w:fldChar w:fldCharType="begin"/>
      </w:r>
      <w:r>
        <w:rPr>
          <w:rFonts w:hint="eastAsia" w:ascii="黑体" w:eastAsia="黑体"/>
          <w:sz w:val="28"/>
          <w:szCs w:val="28"/>
        </w:rPr>
        <w:instrText xml:space="preserve"> HYPERLINK \l _Toc27240 </w:instrText>
      </w:r>
      <w:r>
        <w:rPr>
          <w:rFonts w:hint="eastAsia" w:ascii="黑体" w:eastAsia="黑体"/>
          <w:sz w:val="28"/>
          <w:szCs w:val="28"/>
        </w:rPr>
        <w:fldChar w:fldCharType="separate"/>
      </w:r>
      <w:r>
        <w:rPr>
          <w:rFonts w:hint="eastAsia"/>
          <w:bCs w:val="0"/>
          <w:sz w:val="28"/>
          <w:szCs w:val="28"/>
        </w:rPr>
        <w:t>第二章  磋商须知</w:t>
      </w:r>
      <w:r>
        <w:rPr>
          <w:sz w:val="28"/>
          <w:szCs w:val="28"/>
        </w:rPr>
        <w:tab/>
      </w:r>
      <w:r>
        <w:rPr>
          <w:sz w:val="28"/>
          <w:szCs w:val="28"/>
        </w:rPr>
        <w:fldChar w:fldCharType="begin"/>
      </w:r>
      <w:r>
        <w:rPr>
          <w:sz w:val="28"/>
          <w:szCs w:val="28"/>
        </w:rPr>
        <w:instrText xml:space="preserve"> PAGEREF _Toc27240 \h </w:instrText>
      </w:r>
      <w:r>
        <w:rPr>
          <w:sz w:val="28"/>
          <w:szCs w:val="28"/>
        </w:rPr>
        <w:fldChar w:fldCharType="separate"/>
      </w:r>
      <w:r>
        <w:rPr>
          <w:sz w:val="28"/>
          <w:szCs w:val="28"/>
        </w:rPr>
        <w:t>7</w:t>
      </w:r>
      <w:r>
        <w:rPr>
          <w:sz w:val="28"/>
          <w:szCs w:val="28"/>
        </w:rPr>
        <w:fldChar w:fldCharType="end"/>
      </w:r>
      <w:r>
        <w:rPr>
          <w:rFonts w:hint="eastAsia" w:ascii="黑体" w:eastAsia="黑体"/>
          <w:sz w:val="28"/>
          <w:szCs w:val="28"/>
        </w:rPr>
        <w:fldChar w:fldCharType="end"/>
      </w:r>
    </w:p>
    <w:p w14:paraId="787940EE">
      <w:pPr>
        <w:pStyle w:val="18"/>
        <w:tabs>
          <w:tab w:val="right" w:leader="dot" w:pos="9070"/>
        </w:tabs>
        <w:rPr>
          <w:sz w:val="28"/>
          <w:szCs w:val="28"/>
        </w:rPr>
      </w:pPr>
      <w:r>
        <w:rPr>
          <w:rFonts w:hint="eastAsia" w:ascii="黑体" w:eastAsia="黑体"/>
          <w:sz w:val="28"/>
          <w:szCs w:val="28"/>
        </w:rPr>
        <w:fldChar w:fldCharType="begin"/>
      </w:r>
      <w:r>
        <w:rPr>
          <w:rFonts w:hint="eastAsia" w:ascii="黑体" w:eastAsia="黑体"/>
          <w:sz w:val="28"/>
          <w:szCs w:val="28"/>
        </w:rPr>
        <w:instrText xml:space="preserve"> HYPERLINK \l _Toc481 </w:instrText>
      </w:r>
      <w:r>
        <w:rPr>
          <w:rFonts w:hint="eastAsia" w:ascii="黑体" w:eastAsia="黑体"/>
          <w:sz w:val="28"/>
          <w:szCs w:val="28"/>
        </w:rPr>
        <w:fldChar w:fldCharType="separate"/>
      </w:r>
      <w:r>
        <w:rPr>
          <w:rFonts w:hint="eastAsia"/>
          <w:sz w:val="28"/>
          <w:szCs w:val="28"/>
        </w:rPr>
        <w:t>第</w:t>
      </w:r>
      <w:r>
        <w:rPr>
          <w:rFonts w:hint="eastAsia"/>
          <w:sz w:val="28"/>
          <w:szCs w:val="28"/>
          <w:lang w:eastAsia="zh-CN"/>
        </w:rPr>
        <w:t>一</w:t>
      </w:r>
      <w:r>
        <w:rPr>
          <w:rFonts w:hint="eastAsia"/>
          <w:sz w:val="28"/>
          <w:szCs w:val="28"/>
        </w:rPr>
        <w:t>节</w:t>
      </w:r>
      <w:r>
        <w:rPr>
          <w:rFonts w:hint="eastAsia"/>
          <w:sz w:val="28"/>
          <w:szCs w:val="28"/>
          <w:lang w:val="en-US" w:eastAsia="zh-CN"/>
        </w:rPr>
        <w:t xml:space="preserve"> </w:t>
      </w:r>
      <w:r>
        <w:rPr>
          <w:rFonts w:hint="eastAsia"/>
          <w:sz w:val="28"/>
          <w:szCs w:val="28"/>
        </w:rPr>
        <w:t>磋商须知前附表</w:t>
      </w:r>
      <w:r>
        <w:rPr>
          <w:sz w:val="28"/>
          <w:szCs w:val="28"/>
        </w:rPr>
        <w:tab/>
      </w:r>
      <w:r>
        <w:rPr>
          <w:sz w:val="28"/>
          <w:szCs w:val="28"/>
        </w:rPr>
        <w:fldChar w:fldCharType="begin"/>
      </w:r>
      <w:r>
        <w:rPr>
          <w:sz w:val="28"/>
          <w:szCs w:val="28"/>
        </w:rPr>
        <w:instrText xml:space="preserve"> PAGEREF _Toc481 \h </w:instrText>
      </w:r>
      <w:r>
        <w:rPr>
          <w:sz w:val="28"/>
          <w:szCs w:val="28"/>
        </w:rPr>
        <w:fldChar w:fldCharType="separate"/>
      </w:r>
      <w:r>
        <w:rPr>
          <w:sz w:val="28"/>
          <w:szCs w:val="28"/>
        </w:rPr>
        <w:t>7</w:t>
      </w:r>
      <w:r>
        <w:rPr>
          <w:sz w:val="28"/>
          <w:szCs w:val="28"/>
        </w:rPr>
        <w:fldChar w:fldCharType="end"/>
      </w:r>
      <w:r>
        <w:rPr>
          <w:rFonts w:hint="eastAsia" w:ascii="黑体" w:eastAsia="黑体"/>
          <w:sz w:val="28"/>
          <w:szCs w:val="28"/>
        </w:rPr>
        <w:fldChar w:fldCharType="end"/>
      </w:r>
    </w:p>
    <w:p w14:paraId="5CBA2337">
      <w:pPr>
        <w:pStyle w:val="18"/>
        <w:tabs>
          <w:tab w:val="right" w:leader="dot" w:pos="9070"/>
        </w:tabs>
        <w:rPr>
          <w:sz w:val="28"/>
          <w:szCs w:val="28"/>
        </w:rPr>
      </w:pPr>
      <w:r>
        <w:rPr>
          <w:rFonts w:hint="eastAsia" w:ascii="黑体" w:eastAsia="黑体"/>
          <w:sz w:val="28"/>
          <w:szCs w:val="28"/>
        </w:rPr>
        <w:fldChar w:fldCharType="begin"/>
      </w:r>
      <w:r>
        <w:rPr>
          <w:rFonts w:hint="eastAsia" w:ascii="黑体" w:eastAsia="黑体"/>
          <w:sz w:val="28"/>
          <w:szCs w:val="28"/>
        </w:rPr>
        <w:instrText xml:space="preserve"> HYPERLINK \l _Toc31848 </w:instrText>
      </w:r>
      <w:r>
        <w:rPr>
          <w:rFonts w:hint="eastAsia" w:ascii="黑体" w:eastAsia="黑体"/>
          <w:sz w:val="28"/>
          <w:szCs w:val="28"/>
        </w:rPr>
        <w:fldChar w:fldCharType="separate"/>
      </w:r>
      <w:r>
        <w:rPr>
          <w:rFonts w:hint="eastAsia" w:ascii="宋体" w:hAnsi="宋体" w:eastAsia="宋体" w:cs="宋体"/>
          <w:bCs/>
          <w:sz w:val="28"/>
          <w:szCs w:val="28"/>
        </w:rPr>
        <w:t xml:space="preserve">第二节 </w:t>
      </w:r>
      <w:r>
        <w:rPr>
          <w:rFonts w:hint="eastAsia" w:ascii="宋体" w:hAnsi="宋体" w:eastAsia="宋体" w:cs="宋体"/>
          <w:bCs/>
          <w:sz w:val="28"/>
          <w:szCs w:val="28"/>
          <w:lang w:eastAsia="zh-CN"/>
        </w:rPr>
        <w:t>磋商</w:t>
      </w:r>
      <w:r>
        <w:rPr>
          <w:rFonts w:hint="eastAsia" w:ascii="宋体" w:hAnsi="宋体" w:eastAsia="宋体" w:cs="宋体"/>
          <w:bCs/>
          <w:sz w:val="28"/>
          <w:szCs w:val="28"/>
        </w:rPr>
        <w:t>须知正文</w:t>
      </w:r>
      <w:r>
        <w:rPr>
          <w:sz w:val="28"/>
          <w:szCs w:val="28"/>
        </w:rPr>
        <w:tab/>
      </w:r>
      <w:r>
        <w:rPr>
          <w:sz w:val="28"/>
          <w:szCs w:val="28"/>
        </w:rPr>
        <w:fldChar w:fldCharType="begin"/>
      </w:r>
      <w:r>
        <w:rPr>
          <w:sz w:val="28"/>
          <w:szCs w:val="28"/>
        </w:rPr>
        <w:instrText xml:space="preserve"> PAGEREF _Toc31848 \h </w:instrText>
      </w:r>
      <w:r>
        <w:rPr>
          <w:sz w:val="28"/>
          <w:szCs w:val="28"/>
        </w:rPr>
        <w:fldChar w:fldCharType="separate"/>
      </w:r>
      <w:r>
        <w:rPr>
          <w:sz w:val="28"/>
          <w:szCs w:val="28"/>
        </w:rPr>
        <w:t>11</w:t>
      </w:r>
      <w:r>
        <w:rPr>
          <w:sz w:val="28"/>
          <w:szCs w:val="28"/>
        </w:rPr>
        <w:fldChar w:fldCharType="end"/>
      </w:r>
      <w:r>
        <w:rPr>
          <w:rFonts w:hint="eastAsia" w:ascii="黑体" w:eastAsia="黑体"/>
          <w:sz w:val="28"/>
          <w:szCs w:val="28"/>
        </w:rPr>
        <w:fldChar w:fldCharType="end"/>
      </w:r>
    </w:p>
    <w:p w14:paraId="7AFDDFEF">
      <w:pPr>
        <w:pStyle w:val="17"/>
        <w:tabs>
          <w:tab w:val="right" w:leader="dot" w:pos="9070"/>
        </w:tabs>
        <w:rPr>
          <w:sz w:val="28"/>
          <w:szCs w:val="28"/>
        </w:rPr>
      </w:pPr>
      <w:r>
        <w:rPr>
          <w:rFonts w:hint="eastAsia" w:ascii="黑体" w:eastAsia="黑体"/>
          <w:sz w:val="28"/>
          <w:szCs w:val="28"/>
        </w:rPr>
        <w:fldChar w:fldCharType="begin"/>
      </w:r>
      <w:r>
        <w:rPr>
          <w:rFonts w:hint="eastAsia" w:ascii="黑体" w:eastAsia="黑体"/>
          <w:sz w:val="28"/>
          <w:szCs w:val="28"/>
        </w:rPr>
        <w:instrText xml:space="preserve"> HYPERLINK \l _Toc23284 </w:instrText>
      </w:r>
      <w:r>
        <w:rPr>
          <w:rFonts w:hint="eastAsia" w:ascii="黑体" w:eastAsia="黑体"/>
          <w:sz w:val="28"/>
          <w:szCs w:val="28"/>
        </w:rPr>
        <w:fldChar w:fldCharType="separate"/>
      </w:r>
      <w:r>
        <w:rPr>
          <w:rFonts w:hint="eastAsia"/>
          <w:bCs w:val="0"/>
          <w:sz w:val="28"/>
          <w:szCs w:val="28"/>
        </w:rPr>
        <w:t>第三章  合同协议书</w:t>
      </w:r>
      <w:r>
        <w:rPr>
          <w:sz w:val="28"/>
          <w:szCs w:val="28"/>
        </w:rPr>
        <w:tab/>
      </w:r>
      <w:r>
        <w:rPr>
          <w:sz w:val="28"/>
          <w:szCs w:val="28"/>
        </w:rPr>
        <w:fldChar w:fldCharType="begin"/>
      </w:r>
      <w:r>
        <w:rPr>
          <w:sz w:val="28"/>
          <w:szCs w:val="28"/>
        </w:rPr>
        <w:instrText xml:space="preserve"> PAGEREF _Toc23284 \h </w:instrText>
      </w:r>
      <w:r>
        <w:rPr>
          <w:sz w:val="28"/>
          <w:szCs w:val="28"/>
        </w:rPr>
        <w:fldChar w:fldCharType="separate"/>
      </w:r>
      <w:r>
        <w:rPr>
          <w:sz w:val="28"/>
          <w:szCs w:val="28"/>
        </w:rPr>
        <w:t>26</w:t>
      </w:r>
      <w:r>
        <w:rPr>
          <w:sz w:val="28"/>
          <w:szCs w:val="28"/>
        </w:rPr>
        <w:fldChar w:fldCharType="end"/>
      </w:r>
      <w:r>
        <w:rPr>
          <w:rFonts w:hint="eastAsia" w:ascii="黑体" w:eastAsia="黑体"/>
          <w:sz w:val="28"/>
          <w:szCs w:val="28"/>
        </w:rPr>
        <w:fldChar w:fldCharType="end"/>
      </w:r>
    </w:p>
    <w:p w14:paraId="3D6C0855">
      <w:pPr>
        <w:pStyle w:val="17"/>
        <w:tabs>
          <w:tab w:val="right" w:leader="dot" w:pos="9070"/>
        </w:tabs>
        <w:rPr>
          <w:sz w:val="28"/>
          <w:szCs w:val="28"/>
        </w:rPr>
      </w:pPr>
      <w:r>
        <w:rPr>
          <w:rFonts w:hint="eastAsia" w:ascii="黑体" w:eastAsia="黑体"/>
          <w:sz w:val="28"/>
          <w:szCs w:val="28"/>
        </w:rPr>
        <w:fldChar w:fldCharType="begin"/>
      </w:r>
      <w:r>
        <w:rPr>
          <w:rFonts w:hint="eastAsia" w:ascii="黑体" w:eastAsia="黑体"/>
          <w:sz w:val="28"/>
          <w:szCs w:val="28"/>
        </w:rPr>
        <w:instrText xml:space="preserve"> HYPERLINK \l _Toc30619 </w:instrText>
      </w:r>
      <w:r>
        <w:rPr>
          <w:rFonts w:hint="eastAsia" w:ascii="黑体" w:eastAsia="黑体"/>
          <w:sz w:val="28"/>
          <w:szCs w:val="28"/>
        </w:rPr>
        <w:fldChar w:fldCharType="separate"/>
      </w:r>
      <w:r>
        <w:rPr>
          <w:rFonts w:hint="eastAsia"/>
          <w:bCs w:val="0"/>
          <w:sz w:val="28"/>
          <w:szCs w:val="28"/>
          <w:lang w:eastAsia="zh-CN"/>
        </w:rPr>
        <w:t>第四章</w:t>
      </w:r>
      <w:r>
        <w:rPr>
          <w:rFonts w:hint="eastAsia"/>
          <w:bCs w:val="0"/>
          <w:sz w:val="28"/>
          <w:szCs w:val="28"/>
          <w:lang w:val="en-US" w:eastAsia="zh-CN"/>
        </w:rPr>
        <w:t xml:space="preserve"> </w:t>
      </w:r>
      <w:r>
        <w:rPr>
          <w:rFonts w:hint="eastAsia"/>
          <w:bCs w:val="0"/>
          <w:sz w:val="28"/>
          <w:szCs w:val="28"/>
        </w:rPr>
        <w:t>评标方法及标准</w:t>
      </w:r>
      <w:r>
        <w:rPr>
          <w:sz w:val="28"/>
          <w:szCs w:val="28"/>
        </w:rPr>
        <w:tab/>
      </w:r>
      <w:r>
        <w:rPr>
          <w:sz w:val="28"/>
          <w:szCs w:val="28"/>
        </w:rPr>
        <w:fldChar w:fldCharType="begin"/>
      </w:r>
      <w:r>
        <w:rPr>
          <w:sz w:val="28"/>
          <w:szCs w:val="28"/>
        </w:rPr>
        <w:instrText xml:space="preserve"> PAGEREF _Toc30619 \h </w:instrText>
      </w:r>
      <w:r>
        <w:rPr>
          <w:sz w:val="28"/>
          <w:szCs w:val="28"/>
        </w:rPr>
        <w:fldChar w:fldCharType="separate"/>
      </w:r>
      <w:r>
        <w:rPr>
          <w:sz w:val="28"/>
          <w:szCs w:val="28"/>
        </w:rPr>
        <w:t>86</w:t>
      </w:r>
      <w:r>
        <w:rPr>
          <w:sz w:val="28"/>
          <w:szCs w:val="28"/>
        </w:rPr>
        <w:fldChar w:fldCharType="end"/>
      </w:r>
      <w:r>
        <w:rPr>
          <w:rFonts w:hint="eastAsia" w:ascii="黑体" w:eastAsia="黑体"/>
          <w:sz w:val="28"/>
          <w:szCs w:val="28"/>
        </w:rPr>
        <w:fldChar w:fldCharType="end"/>
      </w:r>
    </w:p>
    <w:p w14:paraId="455D61D2">
      <w:pPr>
        <w:pStyle w:val="17"/>
        <w:tabs>
          <w:tab w:val="right" w:leader="dot" w:pos="9070"/>
        </w:tabs>
        <w:rPr>
          <w:sz w:val="28"/>
          <w:szCs w:val="28"/>
        </w:rPr>
      </w:pPr>
      <w:r>
        <w:rPr>
          <w:rFonts w:hint="eastAsia" w:ascii="黑体" w:eastAsia="黑体"/>
          <w:sz w:val="28"/>
          <w:szCs w:val="28"/>
        </w:rPr>
        <w:fldChar w:fldCharType="begin"/>
      </w:r>
      <w:r>
        <w:rPr>
          <w:rFonts w:hint="eastAsia" w:ascii="黑体" w:eastAsia="黑体"/>
          <w:sz w:val="28"/>
          <w:szCs w:val="28"/>
        </w:rPr>
        <w:instrText xml:space="preserve"> HYPERLINK \l _Toc32302 </w:instrText>
      </w:r>
      <w:r>
        <w:rPr>
          <w:rFonts w:hint="eastAsia" w:ascii="黑体" w:eastAsia="黑体"/>
          <w:sz w:val="28"/>
          <w:szCs w:val="28"/>
        </w:rPr>
        <w:fldChar w:fldCharType="separate"/>
      </w:r>
      <w:r>
        <w:rPr>
          <w:rFonts w:hint="eastAsia"/>
          <w:bCs w:val="0"/>
          <w:sz w:val="28"/>
          <w:szCs w:val="28"/>
          <w:lang w:val="en-US" w:eastAsia="zh-CN"/>
        </w:rPr>
        <w:t>第五章 采购需求</w:t>
      </w:r>
      <w:r>
        <w:rPr>
          <w:sz w:val="28"/>
          <w:szCs w:val="28"/>
        </w:rPr>
        <w:tab/>
      </w:r>
      <w:r>
        <w:rPr>
          <w:sz w:val="28"/>
          <w:szCs w:val="28"/>
        </w:rPr>
        <w:fldChar w:fldCharType="begin"/>
      </w:r>
      <w:r>
        <w:rPr>
          <w:sz w:val="28"/>
          <w:szCs w:val="28"/>
        </w:rPr>
        <w:instrText xml:space="preserve"> PAGEREF _Toc32302 \h </w:instrText>
      </w:r>
      <w:r>
        <w:rPr>
          <w:sz w:val="28"/>
          <w:szCs w:val="28"/>
        </w:rPr>
        <w:fldChar w:fldCharType="separate"/>
      </w:r>
      <w:r>
        <w:rPr>
          <w:sz w:val="28"/>
          <w:szCs w:val="28"/>
        </w:rPr>
        <w:t>88</w:t>
      </w:r>
      <w:r>
        <w:rPr>
          <w:sz w:val="28"/>
          <w:szCs w:val="28"/>
        </w:rPr>
        <w:fldChar w:fldCharType="end"/>
      </w:r>
      <w:r>
        <w:rPr>
          <w:rFonts w:hint="eastAsia" w:ascii="黑体" w:eastAsia="黑体"/>
          <w:sz w:val="28"/>
          <w:szCs w:val="28"/>
        </w:rPr>
        <w:fldChar w:fldCharType="end"/>
      </w:r>
    </w:p>
    <w:p w14:paraId="06479E83">
      <w:pPr>
        <w:pStyle w:val="17"/>
        <w:tabs>
          <w:tab w:val="right" w:leader="dot" w:pos="9070"/>
        </w:tabs>
        <w:rPr>
          <w:sz w:val="28"/>
          <w:szCs w:val="28"/>
        </w:rPr>
      </w:pPr>
      <w:r>
        <w:rPr>
          <w:rFonts w:hint="eastAsia" w:ascii="黑体" w:eastAsia="黑体"/>
          <w:sz w:val="28"/>
          <w:szCs w:val="28"/>
        </w:rPr>
        <w:fldChar w:fldCharType="begin"/>
      </w:r>
      <w:r>
        <w:rPr>
          <w:rFonts w:hint="eastAsia" w:ascii="黑体" w:eastAsia="黑体"/>
          <w:sz w:val="28"/>
          <w:szCs w:val="28"/>
        </w:rPr>
        <w:instrText xml:space="preserve"> HYPERLINK \l _Toc3228 </w:instrText>
      </w:r>
      <w:r>
        <w:rPr>
          <w:rFonts w:hint="eastAsia" w:ascii="黑体" w:eastAsia="黑体"/>
          <w:sz w:val="28"/>
          <w:szCs w:val="28"/>
        </w:rPr>
        <w:fldChar w:fldCharType="separate"/>
      </w:r>
      <w:r>
        <w:rPr>
          <w:rFonts w:hint="eastAsia"/>
          <w:bCs w:val="0"/>
          <w:sz w:val="28"/>
          <w:szCs w:val="28"/>
        </w:rPr>
        <w:t>第</w:t>
      </w:r>
      <w:r>
        <w:rPr>
          <w:rFonts w:hint="eastAsia"/>
          <w:bCs w:val="0"/>
          <w:sz w:val="28"/>
          <w:szCs w:val="28"/>
          <w:lang w:eastAsia="zh-CN"/>
        </w:rPr>
        <w:t>六</w:t>
      </w:r>
      <w:r>
        <w:rPr>
          <w:rFonts w:hint="eastAsia"/>
          <w:bCs w:val="0"/>
          <w:sz w:val="28"/>
          <w:szCs w:val="28"/>
        </w:rPr>
        <w:t>章 响应文件组成</w:t>
      </w:r>
      <w:r>
        <w:rPr>
          <w:sz w:val="28"/>
          <w:szCs w:val="28"/>
        </w:rPr>
        <w:tab/>
      </w:r>
      <w:r>
        <w:rPr>
          <w:sz w:val="28"/>
          <w:szCs w:val="28"/>
        </w:rPr>
        <w:fldChar w:fldCharType="begin"/>
      </w:r>
      <w:r>
        <w:rPr>
          <w:sz w:val="28"/>
          <w:szCs w:val="28"/>
        </w:rPr>
        <w:instrText xml:space="preserve"> PAGEREF _Toc3228 \h </w:instrText>
      </w:r>
      <w:r>
        <w:rPr>
          <w:sz w:val="28"/>
          <w:szCs w:val="28"/>
        </w:rPr>
        <w:fldChar w:fldCharType="separate"/>
      </w:r>
      <w:r>
        <w:rPr>
          <w:sz w:val="28"/>
          <w:szCs w:val="28"/>
        </w:rPr>
        <w:t>90</w:t>
      </w:r>
      <w:r>
        <w:rPr>
          <w:sz w:val="28"/>
          <w:szCs w:val="28"/>
        </w:rPr>
        <w:fldChar w:fldCharType="end"/>
      </w:r>
      <w:r>
        <w:rPr>
          <w:rFonts w:hint="eastAsia" w:ascii="黑体" w:eastAsia="黑体"/>
          <w:sz w:val="28"/>
          <w:szCs w:val="28"/>
        </w:rPr>
        <w:fldChar w:fldCharType="end"/>
      </w:r>
    </w:p>
    <w:p w14:paraId="0189A0B3">
      <w:pPr>
        <w:pStyle w:val="17"/>
        <w:tabs>
          <w:tab w:val="right" w:leader="dot" w:pos="9070"/>
        </w:tabs>
      </w:pPr>
      <w:r>
        <w:rPr>
          <w:rFonts w:hint="eastAsia" w:ascii="黑体" w:eastAsia="黑体"/>
          <w:sz w:val="28"/>
          <w:szCs w:val="28"/>
        </w:rPr>
        <w:fldChar w:fldCharType="begin"/>
      </w:r>
      <w:r>
        <w:rPr>
          <w:rFonts w:hint="eastAsia" w:ascii="黑体" w:eastAsia="黑体"/>
          <w:sz w:val="28"/>
          <w:szCs w:val="28"/>
        </w:rPr>
        <w:instrText xml:space="preserve"> HYPERLINK \l _Toc10344 </w:instrText>
      </w:r>
      <w:r>
        <w:rPr>
          <w:rFonts w:hint="eastAsia" w:ascii="黑体" w:eastAsia="黑体"/>
          <w:sz w:val="28"/>
          <w:szCs w:val="28"/>
        </w:rPr>
        <w:fldChar w:fldCharType="separate"/>
      </w:r>
      <w:r>
        <w:rPr>
          <w:rFonts w:hint="eastAsia"/>
          <w:sz w:val="28"/>
          <w:szCs w:val="28"/>
          <w:lang w:val="en-US" w:eastAsia="zh-CN"/>
        </w:rPr>
        <w:t>第七章 工程量清单（附后）</w:t>
      </w:r>
      <w:r>
        <w:rPr>
          <w:sz w:val="28"/>
          <w:szCs w:val="28"/>
        </w:rPr>
        <w:tab/>
      </w:r>
      <w:r>
        <w:rPr>
          <w:sz w:val="28"/>
          <w:szCs w:val="28"/>
        </w:rPr>
        <w:fldChar w:fldCharType="begin"/>
      </w:r>
      <w:r>
        <w:rPr>
          <w:sz w:val="28"/>
          <w:szCs w:val="28"/>
        </w:rPr>
        <w:instrText xml:space="preserve"> PAGEREF _Toc10344 \h </w:instrText>
      </w:r>
      <w:r>
        <w:rPr>
          <w:sz w:val="28"/>
          <w:szCs w:val="28"/>
        </w:rPr>
        <w:fldChar w:fldCharType="separate"/>
      </w:r>
      <w:r>
        <w:rPr>
          <w:sz w:val="28"/>
          <w:szCs w:val="28"/>
        </w:rPr>
        <w:t>105</w:t>
      </w:r>
      <w:r>
        <w:rPr>
          <w:sz w:val="28"/>
          <w:szCs w:val="28"/>
        </w:rPr>
        <w:fldChar w:fldCharType="end"/>
      </w:r>
      <w:r>
        <w:rPr>
          <w:rFonts w:hint="eastAsia" w:ascii="黑体" w:eastAsia="黑体"/>
          <w:sz w:val="28"/>
          <w:szCs w:val="28"/>
        </w:rPr>
        <w:fldChar w:fldCharType="end"/>
      </w:r>
    </w:p>
    <w:p w14:paraId="799FD521">
      <w:pPr>
        <w:rPr>
          <w:rFonts w:hint="eastAsia" w:ascii="宋体" w:hAnsi="宋体"/>
          <w:b/>
          <w:bCs/>
          <w:color w:val="auto"/>
          <w:sz w:val="32"/>
          <w:szCs w:val="32"/>
        </w:rPr>
      </w:pPr>
      <w:r>
        <w:rPr>
          <w:rFonts w:hint="eastAsia" w:ascii="黑体" w:eastAsia="黑体"/>
          <w:szCs w:val="32"/>
        </w:rPr>
        <w:fldChar w:fldCharType="end"/>
      </w:r>
      <w:bookmarkStart w:id="0" w:name="_Toc56496706"/>
    </w:p>
    <w:bookmarkEnd w:id="0"/>
    <w:p w14:paraId="093BA7EA">
      <w:pPr>
        <w:pStyle w:val="3"/>
        <w:bidi w:val="0"/>
        <w:rPr>
          <w:rFonts w:hint="eastAsia"/>
          <w:b/>
          <w:bCs w:val="0"/>
          <w:lang w:val="en-US" w:eastAsia="zh-CN"/>
        </w:rPr>
        <w:sectPr>
          <w:footerReference r:id="rId3" w:type="default"/>
          <w:pgSz w:w="11906" w:h="16838"/>
          <w:pgMar w:top="1418" w:right="1418" w:bottom="1134" w:left="1418" w:header="851" w:footer="992" w:gutter="0"/>
          <w:pgNumType w:fmt="decimal" w:start="1"/>
          <w:cols w:space="720" w:num="1"/>
          <w:docGrid w:type="linesAndChars" w:linePitch="312" w:charSpace="0"/>
        </w:sectPr>
      </w:pPr>
      <w:bookmarkStart w:id="1" w:name="_Toc32680"/>
      <w:bookmarkStart w:id="2" w:name="_Toc27003"/>
      <w:bookmarkStart w:id="3" w:name="_Toc56496707"/>
    </w:p>
    <w:p w14:paraId="112A9024">
      <w:pPr>
        <w:pStyle w:val="3"/>
        <w:bidi w:val="0"/>
        <w:rPr>
          <w:b/>
          <w:bCs w:val="0"/>
        </w:rPr>
      </w:pPr>
      <w:r>
        <w:rPr>
          <w:rFonts w:hint="eastAsia"/>
          <w:b/>
          <w:bCs w:val="0"/>
          <w:lang w:eastAsia="zh-CN"/>
        </w:rPr>
        <w:t>第一章</w:t>
      </w:r>
      <w:r>
        <w:rPr>
          <w:rFonts w:hint="eastAsia"/>
          <w:b/>
          <w:bCs w:val="0"/>
          <w:lang w:val="en-US" w:eastAsia="zh-CN"/>
        </w:rPr>
        <w:t xml:space="preserve">  </w:t>
      </w:r>
      <w:r>
        <w:rPr>
          <w:rFonts w:hint="eastAsia"/>
          <w:b/>
          <w:bCs w:val="0"/>
        </w:rPr>
        <w:t>磋商邀请</w:t>
      </w:r>
      <w:bookmarkEnd w:id="1"/>
      <w:bookmarkEnd w:id="2"/>
    </w:p>
    <w:p w14:paraId="352373FE">
      <w:pPr>
        <w:keepNext w:val="0"/>
        <w:keepLines w:val="0"/>
        <w:pageBreakBefore w:val="0"/>
        <w:widowControl w:val="0"/>
        <w:suppressLineNumbers w:val="0"/>
        <w:kinsoku/>
        <w:wordWrap/>
        <w:overflowPunct/>
        <w:topLinePunct w:val="0"/>
        <w:autoSpaceDE/>
        <w:autoSpaceDN/>
        <w:bidi w:val="0"/>
        <w:adjustRightInd w:val="0"/>
        <w:snapToGrid w:val="0"/>
        <w:spacing w:beforeAutospacing="0" w:after="0" w:afterAutospacing="0" w:line="360" w:lineRule="auto"/>
        <w:ind w:right="0" w:firstLine="420" w:firstLineChars="200"/>
        <w:jc w:val="both"/>
        <w:textAlignment w:val="auto"/>
        <w:rPr>
          <w:rFonts w:hint="eastAsia" w:ascii="宋体" w:hAnsi="宋体" w:eastAsia="宋体" w:cs="宋体"/>
          <w:b w:val="0"/>
          <w:bCs/>
          <w:szCs w:val="21"/>
          <w:highlight w:val="none"/>
          <w:lang w:val="en-US" w:eastAsia="zh-CN"/>
        </w:rPr>
      </w:pPr>
      <w:r>
        <w:rPr>
          <w:rFonts w:hint="eastAsia" w:ascii="宋体" w:hAnsi="宋体" w:cs="宋体"/>
          <w:b w:val="0"/>
          <w:bCs/>
          <w:szCs w:val="21"/>
          <w:highlight w:val="none"/>
          <w:u w:val="single"/>
          <w:lang w:val="en-US" w:eastAsia="zh-CN"/>
        </w:rPr>
        <w:t>怀化市鹤城区城市建设投资有限公司</w:t>
      </w:r>
      <w:r>
        <w:rPr>
          <w:rFonts w:hint="eastAsia" w:ascii="宋体" w:hAnsi="宋体" w:eastAsia="宋体" w:cs="宋体"/>
          <w:b w:val="0"/>
          <w:bCs/>
          <w:szCs w:val="21"/>
          <w:highlight w:val="none"/>
          <w:lang w:val="en-US" w:eastAsia="zh-CN"/>
        </w:rPr>
        <w:t>的</w:t>
      </w:r>
      <w:r>
        <w:rPr>
          <w:rFonts w:hint="eastAsia" w:ascii="宋体" w:hAnsi="宋体" w:cs="宋体"/>
          <w:b w:val="0"/>
          <w:bCs/>
          <w:szCs w:val="21"/>
          <w:highlight w:val="none"/>
          <w:u w:val="single"/>
          <w:lang w:val="en-US" w:eastAsia="zh-CN"/>
        </w:rPr>
        <w:t>鹤北新城城中村改造安置区配电工程（外线部分）（第三次）</w:t>
      </w:r>
      <w:r>
        <w:rPr>
          <w:rFonts w:hint="eastAsia" w:ascii="宋体" w:hAnsi="宋体" w:eastAsia="宋体" w:cs="宋体"/>
          <w:b w:val="0"/>
          <w:bCs/>
          <w:szCs w:val="21"/>
          <w:highlight w:val="none"/>
          <w:lang w:val="en-US" w:eastAsia="zh-CN"/>
        </w:rPr>
        <w:t>进行竞争性磋商采购，现采用发布公告的方式，</w:t>
      </w:r>
      <w:bookmarkStart w:id="4" w:name="_Toc4112"/>
      <w:bookmarkStart w:id="5" w:name="_Toc27866"/>
      <w:bookmarkStart w:id="6" w:name="_Toc110606588"/>
      <w:r>
        <w:rPr>
          <w:rFonts w:hint="eastAsia" w:ascii="宋体" w:hAnsi="宋体" w:eastAsia="宋体" w:cs="宋体"/>
          <w:b w:val="0"/>
          <w:bCs/>
          <w:szCs w:val="21"/>
          <w:highlight w:val="none"/>
          <w:lang w:val="en-US" w:eastAsia="zh-CN"/>
        </w:rPr>
        <w:t>邀请合格的供应商参加竞争性磋商采购活动。</w:t>
      </w:r>
    </w:p>
    <w:bookmarkEnd w:id="4"/>
    <w:bookmarkEnd w:id="5"/>
    <w:bookmarkEnd w:id="6"/>
    <w:p w14:paraId="700B4F96">
      <w:pPr>
        <w:keepNext w:val="0"/>
        <w:keepLines w:val="0"/>
        <w:widowControl w:val="0"/>
        <w:numPr>
          <w:ilvl w:val="0"/>
          <w:numId w:val="0"/>
        </w:numPr>
        <w:suppressLineNumbers w:val="0"/>
        <w:adjustRightInd w:val="0"/>
        <w:snapToGrid w:val="0"/>
        <w:spacing w:before="0" w:beforeAutospacing="0" w:after="0" w:afterAutospacing="0" w:line="360" w:lineRule="auto"/>
        <w:ind w:left="0" w:leftChars="0" w:right="0" w:rightChars="0" w:firstLine="480" w:firstLineChars="200"/>
        <w:jc w:val="both"/>
        <w:rPr>
          <w:rFonts w:hint="eastAsia" w:ascii="黑体" w:hAnsi="宋体" w:eastAsia="黑体" w:cs="黑体"/>
          <w:b/>
          <w:bCs/>
          <w:sz w:val="24"/>
          <w:szCs w:val="32"/>
          <w:highlight w:val="none"/>
          <w:lang w:val="en-US"/>
        </w:rPr>
      </w:pPr>
      <w:r>
        <w:rPr>
          <w:rFonts w:hint="eastAsia" w:ascii="黑体" w:hAnsi="宋体" w:eastAsia="黑体" w:cs="黑体"/>
          <w:b/>
          <w:bCs/>
          <w:kern w:val="2"/>
          <w:sz w:val="24"/>
          <w:szCs w:val="32"/>
          <w:highlight w:val="none"/>
          <w:lang w:val="en-US" w:eastAsia="zh-CN" w:bidi="ar-SA"/>
        </w:rPr>
        <w:t>一、</w:t>
      </w:r>
      <w:r>
        <w:rPr>
          <w:rFonts w:hint="eastAsia" w:ascii="黑体" w:hAnsi="宋体" w:eastAsia="黑体" w:cs="黑体"/>
          <w:b/>
          <w:bCs/>
          <w:kern w:val="2"/>
          <w:sz w:val="24"/>
          <w:szCs w:val="32"/>
          <w:highlight w:val="none"/>
          <w:lang w:val="en-US" w:eastAsia="zh-CN" w:bidi="ar"/>
        </w:rPr>
        <w:t>采购项目基本信息</w:t>
      </w:r>
    </w:p>
    <w:p w14:paraId="2BFB4410">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1、采购项目名称：</w:t>
      </w:r>
      <w:r>
        <w:rPr>
          <w:rFonts w:hint="eastAsia" w:ascii="宋体" w:hAnsi="宋体" w:eastAsia="宋体" w:cs="宋体"/>
          <w:kern w:val="2"/>
          <w:sz w:val="21"/>
          <w:szCs w:val="21"/>
          <w:highlight w:val="none"/>
          <w:u w:val="single"/>
          <w:lang w:val="en-US" w:eastAsia="zh-CN" w:bidi="ar"/>
        </w:rPr>
        <w:t xml:space="preserve"> </w:t>
      </w:r>
      <w:r>
        <w:rPr>
          <w:rFonts w:hint="eastAsia" w:ascii="宋体" w:hAnsi="宋体" w:cs="宋体"/>
          <w:kern w:val="2"/>
          <w:sz w:val="21"/>
          <w:szCs w:val="21"/>
          <w:highlight w:val="none"/>
          <w:u w:val="single"/>
          <w:lang w:val="en-US" w:eastAsia="zh-CN" w:bidi="ar"/>
        </w:rPr>
        <w:t>鹤北新城城中村改造安置区配电工程（外线部分）（第三次）</w:t>
      </w:r>
      <w:r>
        <w:rPr>
          <w:rFonts w:hint="eastAsia" w:ascii="宋体" w:hAnsi="宋体" w:eastAsia="宋体" w:cs="宋体"/>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 xml:space="preserve"> </w:t>
      </w:r>
    </w:p>
    <w:p w14:paraId="154FAEAD">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default" w:ascii="宋体" w:hAnsi="宋体" w:eastAsia="宋体" w:cs="宋体"/>
          <w:kern w:val="2"/>
          <w:sz w:val="21"/>
          <w:szCs w:val="21"/>
          <w:highlight w:val="none"/>
          <w:lang w:val="en-US" w:eastAsia="zh-CN" w:bidi="ar"/>
        </w:rPr>
      </w:pPr>
      <w:r>
        <w:rPr>
          <w:rFonts w:hint="eastAsia" w:ascii="宋体" w:hAnsi="宋体" w:cs="宋体"/>
          <w:kern w:val="2"/>
          <w:sz w:val="21"/>
          <w:szCs w:val="21"/>
          <w:highlight w:val="none"/>
          <w:lang w:val="en-US" w:eastAsia="zh-CN" w:bidi="ar"/>
        </w:rPr>
        <w:t>2</w:t>
      </w:r>
      <w:r>
        <w:rPr>
          <w:rFonts w:hint="eastAsia" w:ascii="宋体" w:hAnsi="宋体" w:eastAsia="宋体" w:cs="宋体"/>
          <w:kern w:val="2"/>
          <w:sz w:val="21"/>
          <w:szCs w:val="21"/>
          <w:highlight w:val="none"/>
          <w:lang w:val="en-US" w:eastAsia="zh-CN" w:bidi="ar"/>
        </w:rPr>
        <w:t>、采购编号：</w:t>
      </w:r>
      <w:r>
        <w:rPr>
          <w:rFonts w:hint="eastAsia" w:ascii="宋体" w:hAnsi="宋体" w:cs="宋体"/>
          <w:kern w:val="2"/>
          <w:sz w:val="21"/>
          <w:szCs w:val="21"/>
          <w:highlight w:val="none"/>
          <w:u w:val="single"/>
          <w:lang w:val="en-US" w:eastAsia="zh-CN" w:bidi="ar"/>
        </w:rPr>
        <w:t xml:space="preserve"> </w:t>
      </w:r>
      <w:r>
        <w:rPr>
          <w:rFonts w:hint="eastAsia" w:ascii="宋体" w:hAnsi="宋体" w:eastAsia="宋体" w:cs="宋体"/>
          <w:kern w:val="2"/>
          <w:sz w:val="21"/>
          <w:szCs w:val="21"/>
          <w:highlight w:val="none"/>
          <w:u w:val="single"/>
          <w:lang w:val="en-US" w:eastAsia="zh-CN" w:bidi="ar"/>
        </w:rPr>
        <w:t>2025-07</w:t>
      </w:r>
      <w:r>
        <w:rPr>
          <w:rFonts w:hint="eastAsia" w:ascii="宋体" w:hAnsi="宋体" w:cs="宋体"/>
          <w:kern w:val="2"/>
          <w:sz w:val="21"/>
          <w:szCs w:val="21"/>
          <w:highlight w:val="none"/>
          <w:u w:val="single"/>
          <w:lang w:val="en-US" w:eastAsia="zh-CN" w:bidi="ar"/>
        </w:rPr>
        <w:t xml:space="preserve"> </w:t>
      </w:r>
    </w:p>
    <w:p w14:paraId="0350C7D1">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default" w:ascii="宋体" w:hAnsi="宋体" w:eastAsia="宋体" w:cs="宋体"/>
          <w:kern w:val="2"/>
          <w:sz w:val="21"/>
          <w:szCs w:val="21"/>
          <w:highlight w:val="none"/>
          <w:lang w:val="en-US" w:eastAsia="zh-CN" w:bidi="ar"/>
        </w:rPr>
      </w:pPr>
      <w:r>
        <w:rPr>
          <w:rFonts w:hint="eastAsia" w:ascii="宋体" w:hAnsi="宋体" w:cs="宋体"/>
          <w:kern w:val="2"/>
          <w:sz w:val="21"/>
          <w:szCs w:val="21"/>
          <w:highlight w:val="none"/>
          <w:lang w:val="en-US" w:eastAsia="zh-CN" w:bidi="ar"/>
        </w:rPr>
        <w:t>3、</w:t>
      </w:r>
      <w:r>
        <w:rPr>
          <w:rFonts w:hint="eastAsia" w:ascii="宋体" w:hAnsi="宋体" w:eastAsia="宋体" w:cs="宋体"/>
          <w:kern w:val="2"/>
          <w:sz w:val="21"/>
          <w:szCs w:val="21"/>
          <w:highlight w:val="none"/>
          <w:lang w:val="en-US" w:eastAsia="zh-CN" w:bidi="ar"/>
        </w:rPr>
        <w:t>委托代理编号：</w:t>
      </w:r>
      <w:r>
        <w:rPr>
          <w:rFonts w:hint="eastAsia" w:ascii="宋体" w:hAnsi="宋体" w:cs="宋体"/>
          <w:kern w:val="2"/>
          <w:sz w:val="21"/>
          <w:szCs w:val="21"/>
          <w:highlight w:val="none"/>
          <w:u w:val="single"/>
          <w:lang w:val="en-US" w:eastAsia="zh-CN" w:bidi="ar"/>
        </w:rPr>
        <w:t xml:space="preserve"> 2025-CZ-137 </w:t>
      </w:r>
    </w:p>
    <w:p w14:paraId="5E8A49B0">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bCs/>
          <w:kern w:val="2"/>
          <w:sz w:val="21"/>
          <w:szCs w:val="21"/>
          <w:highlight w:val="none"/>
          <w:u w:val="single"/>
          <w:lang w:val="en-US" w:eastAsia="zh-CN" w:bidi="ar"/>
        </w:rPr>
      </w:pPr>
      <w:r>
        <w:rPr>
          <w:rFonts w:hint="eastAsia" w:ascii="宋体" w:hAnsi="宋体" w:cs="宋体"/>
          <w:bCs/>
          <w:kern w:val="2"/>
          <w:sz w:val="21"/>
          <w:szCs w:val="21"/>
          <w:highlight w:val="none"/>
          <w:lang w:val="en-US" w:eastAsia="zh-CN" w:bidi="ar"/>
        </w:rPr>
        <w:t>4</w:t>
      </w:r>
      <w:r>
        <w:rPr>
          <w:rFonts w:hint="eastAsia" w:ascii="宋体" w:hAnsi="宋体" w:eastAsia="宋体" w:cs="宋体"/>
          <w:bCs/>
          <w:kern w:val="2"/>
          <w:sz w:val="21"/>
          <w:szCs w:val="21"/>
          <w:highlight w:val="none"/>
          <w:lang w:val="en-US" w:eastAsia="zh-CN" w:bidi="ar"/>
        </w:rPr>
        <w:t>、采购项目预算：</w:t>
      </w:r>
      <w:r>
        <w:rPr>
          <w:rFonts w:hint="eastAsia" w:ascii="宋体" w:hAnsi="宋体" w:cs="宋体"/>
          <w:bCs/>
          <w:kern w:val="2"/>
          <w:sz w:val="21"/>
          <w:szCs w:val="21"/>
          <w:highlight w:val="none"/>
          <w:u w:val="single"/>
          <w:lang w:val="en-US" w:eastAsia="zh-CN" w:bidi="ar"/>
        </w:rPr>
        <w:t>3987082.63</w:t>
      </w:r>
      <w:r>
        <w:rPr>
          <w:rFonts w:hint="eastAsia" w:ascii="宋体" w:hAnsi="宋体" w:eastAsia="宋体" w:cs="宋体"/>
          <w:bCs/>
          <w:kern w:val="2"/>
          <w:sz w:val="21"/>
          <w:szCs w:val="21"/>
          <w:highlight w:val="none"/>
          <w:u w:val="single"/>
          <w:lang w:val="en-US" w:eastAsia="zh-CN" w:bidi="ar"/>
        </w:rPr>
        <w:t>元</w:t>
      </w:r>
    </w:p>
    <w:p w14:paraId="4528F1AD">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highlight w:val="none"/>
          <w:lang w:val="en-US"/>
        </w:rPr>
      </w:pPr>
      <w:r>
        <w:rPr>
          <w:rFonts w:hint="eastAsia" w:ascii="宋体" w:hAnsi="宋体" w:cs="宋体"/>
          <w:kern w:val="2"/>
          <w:sz w:val="21"/>
          <w:szCs w:val="21"/>
          <w:highlight w:val="none"/>
          <w:lang w:val="en-US" w:eastAsia="zh-CN" w:bidi="ar-SA"/>
        </w:rPr>
        <w:t>5</w:t>
      </w:r>
      <w:r>
        <w:rPr>
          <w:rFonts w:hint="eastAsia" w:ascii="宋体" w:hAnsi="宋体" w:eastAsia="宋体" w:cs="宋体"/>
          <w:kern w:val="2"/>
          <w:sz w:val="21"/>
          <w:szCs w:val="21"/>
          <w:highlight w:val="none"/>
          <w:lang w:val="en-US" w:eastAsia="zh-CN" w:bidi="ar-SA"/>
        </w:rPr>
        <w:t>、评标方法：综合评分法</w:t>
      </w:r>
      <w:r>
        <w:rPr>
          <w:rFonts w:hint="default" w:ascii="Times New Roman" w:hAnsi="Times New Roman" w:eastAsia="宋体" w:cs="Times New Roman"/>
          <w:kern w:val="2"/>
          <w:sz w:val="21"/>
          <w:szCs w:val="24"/>
          <w:highlight w:val="none"/>
          <w:lang w:val="en-US" w:eastAsia="zh-CN" w:bidi="ar"/>
        </w:rPr>
        <w:t xml:space="preserve"> </w:t>
      </w:r>
    </w:p>
    <w:p w14:paraId="0DBE279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Autospacing="0" w:line="360" w:lineRule="auto"/>
        <w:ind w:left="0" w:right="0" w:firstLine="420" w:firstLineChars="200"/>
        <w:jc w:val="both"/>
        <w:textAlignment w:val="auto"/>
        <w:rPr>
          <w:rFonts w:hint="eastAsia" w:ascii="宋体" w:hAnsi="宋体" w:eastAsia="宋体" w:cs="宋体"/>
          <w:bCs/>
          <w:szCs w:val="21"/>
          <w:highlight w:val="none"/>
          <w:u w:val="single"/>
          <w:lang w:val="en-US"/>
        </w:rPr>
      </w:pPr>
      <w:r>
        <w:rPr>
          <w:rFonts w:hint="eastAsia" w:ascii="宋体" w:hAnsi="宋体" w:cs="宋体"/>
          <w:bCs/>
          <w:kern w:val="2"/>
          <w:sz w:val="21"/>
          <w:szCs w:val="21"/>
          <w:highlight w:val="none"/>
          <w:lang w:val="en-US" w:eastAsia="zh-CN" w:bidi="ar"/>
        </w:rPr>
        <w:t>6</w:t>
      </w:r>
      <w:r>
        <w:rPr>
          <w:rFonts w:hint="eastAsia" w:ascii="宋体" w:hAnsi="宋体" w:eastAsia="宋体" w:cs="宋体"/>
          <w:bCs/>
          <w:kern w:val="2"/>
          <w:sz w:val="21"/>
          <w:szCs w:val="21"/>
          <w:highlight w:val="none"/>
          <w:lang w:val="en-US" w:eastAsia="zh-CN" w:bidi="ar"/>
        </w:rPr>
        <w:t>、合同定价方式：</w:t>
      </w:r>
      <w:r>
        <w:rPr>
          <w:rFonts w:hint="default" w:ascii="宋体" w:hAnsi="宋体" w:eastAsia="宋体" w:cs="Wingdings"/>
          <w:iCs/>
          <w:kern w:val="2"/>
          <w:sz w:val="21"/>
          <w:szCs w:val="21"/>
          <w:highlight w:val="none"/>
          <w:lang w:val="en-US" w:eastAsia="zh-CN" w:bidi="ar"/>
        </w:rPr>
        <w:sym w:font="Wingdings" w:char="00A8"/>
      </w:r>
      <w:r>
        <w:rPr>
          <w:rFonts w:hint="eastAsia" w:ascii="宋体" w:hAnsi="宋体" w:eastAsia="宋体" w:cs="宋体"/>
          <w:iCs/>
          <w:kern w:val="2"/>
          <w:sz w:val="21"/>
          <w:szCs w:val="21"/>
          <w:highlight w:val="none"/>
          <w:lang w:val="en-US" w:eastAsia="zh-CN" w:bidi="ar"/>
        </w:rPr>
        <w:t xml:space="preserve">固定总价 </w:t>
      </w:r>
      <w:r>
        <w:rPr>
          <w:rFonts w:hint="default" w:ascii="宋体" w:hAnsi="宋体" w:eastAsia="宋体" w:cs="Wingdings"/>
          <w:iCs/>
          <w:kern w:val="2"/>
          <w:sz w:val="21"/>
          <w:szCs w:val="21"/>
          <w:highlight w:val="none"/>
          <w:lang w:val="en-US" w:eastAsia="zh-CN" w:bidi="ar"/>
        </w:rPr>
        <w:sym w:font="Wingdings" w:char="00FE"/>
      </w:r>
      <w:r>
        <w:rPr>
          <w:rFonts w:hint="eastAsia" w:ascii="宋体" w:hAnsi="宋体" w:eastAsia="宋体" w:cs="宋体"/>
          <w:iCs/>
          <w:kern w:val="2"/>
          <w:sz w:val="21"/>
          <w:szCs w:val="21"/>
          <w:highlight w:val="none"/>
          <w:lang w:val="en-US" w:eastAsia="zh-CN" w:bidi="ar"/>
        </w:rPr>
        <w:t xml:space="preserve">固定单价 </w:t>
      </w:r>
      <w:r>
        <w:rPr>
          <w:rFonts w:hint="default" w:ascii="宋体" w:hAnsi="宋体" w:eastAsia="宋体" w:cs="Wingdings"/>
          <w:iCs/>
          <w:kern w:val="2"/>
          <w:sz w:val="21"/>
          <w:szCs w:val="21"/>
          <w:highlight w:val="none"/>
          <w:lang w:val="en-US" w:eastAsia="zh-CN" w:bidi="ar"/>
        </w:rPr>
        <w:sym w:font="Wingdings" w:char="00A8"/>
      </w:r>
      <w:r>
        <w:rPr>
          <w:rFonts w:hint="eastAsia" w:ascii="宋体" w:hAnsi="宋体" w:eastAsia="宋体" w:cs="宋体"/>
          <w:iCs/>
          <w:kern w:val="2"/>
          <w:sz w:val="21"/>
          <w:szCs w:val="21"/>
          <w:highlight w:val="none"/>
          <w:lang w:val="en-US" w:eastAsia="zh-CN" w:bidi="ar"/>
        </w:rPr>
        <w:t xml:space="preserve">成本补偿 </w:t>
      </w:r>
      <w:r>
        <w:rPr>
          <w:rFonts w:hint="default" w:ascii="宋体" w:hAnsi="宋体" w:eastAsia="宋体" w:cs="Wingdings"/>
          <w:iCs/>
          <w:kern w:val="2"/>
          <w:sz w:val="21"/>
          <w:szCs w:val="21"/>
          <w:highlight w:val="none"/>
          <w:lang w:val="en-US" w:eastAsia="zh-CN" w:bidi="ar"/>
        </w:rPr>
        <w:sym w:font="Wingdings" w:char="00A8"/>
      </w:r>
      <w:r>
        <w:rPr>
          <w:rFonts w:hint="eastAsia" w:ascii="宋体" w:hAnsi="宋体" w:eastAsia="宋体" w:cs="宋体"/>
          <w:iCs/>
          <w:kern w:val="2"/>
          <w:sz w:val="21"/>
          <w:szCs w:val="21"/>
          <w:highlight w:val="none"/>
          <w:lang w:val="en-US" w:eastAsia="zh-CN" w:bidi="ar"/>
        </w:rPr>
        <w:t>绩效激励</w:t>
      </w:r>
    </w:p>
    <w:p w14:paraId="0C4A759E">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rFonts w:hint="eastAsia" w:ascii="宋体" w:hAnsi="宋体" w:eastAsia="宋体" w:cs="宋体"/>
          <w:bCs/>
          <w:kern w:val="2"/>
          <w:sz w:val="21"/>
          <w:szCs w:val="21"/>
          <w:highlight w:val="none"/>
          <w:lang w:val="en-US" w:eastAsia="zh-CN" w:bidi="ar"/>
        </w:rPr>
      </w:pPr>
      <w:r>
        <w:rPr>
          <w:rFonts w:hint="eastAsia" w:ascii="宋体" w:hAnsi="宋体" w:cs="宋体"/>
          <w:bCs/>
          <w:kern w:val="2"/>
          <w:sz w:val="21"/>
          <w:szCs w:val="21"/>
          <w:highlight w:val="none"/>
          <w:lang w:val="en-US" w:eastAsia="zh-CN" w:bidi="ar"/>
        </w:rPr>
        <w:t>7</w:t>
      </w:r>
      <w:r>
        <w:rPr>
          <w:rFonts w:hint="eastAsia" w:ascii="宋体" w:hAnsi="宋体" w:eastAsia="宋体" w:cs="宋体"/>
          <w:bCs/>
          <w:kern w:val="2"/>
          <w:sz w:val="21"/>
          <w:szCs w:val="21"/>
          <w:highlight w:val="none"/>
          <w:lang w:val="en-US" w:eastAsia="zh-CN" w:bidi="ar"/>
        </w:rPr>
        <w:t>、</w:t>
      </w:r>
      <w:r>
        <w:rPr>
          <w:rFonts w:hint="eastAsia" w:ascii="宋体" w:hAnsi="宋体" w:cs="宋体"/>
          <w:bCs/>
          <w:kern w:val="2"/>
          <w:sz w:val="21"/>
          <w:szCs w:val="21"/>
          <w:highlight w:val="none"/>
          <w:lang w:val="en-US" w:eastAsia="zh-CN" w:bidi="ar"/>
        </w:rPr>
        <w:t>工期</w:t>
      </w:r>
      <w:r>
        <w:rPr>
          <w:rFonts w:hint="eastAsia" w:ascii="宋体" w:hAnsi="宋体" w:eastAsia="宋体" w:cs="宋体"/>
          <w:bCs/>
          <w:kern w:val="2"/>
          <w:sz w:val="21"/>
          <w:szCs w:val="21"/>
          <w:highlight w:val="none"/>
          <w:lang w:val="en-US" w:eastAsia="zh-CN" w:bidi="ar"/>
        </w:rPr>
        <w:t>：</w:t>
      </w:r>
      <w:r>
        <w:rPr>
          <w:rFonts w:hint="eastAsia" w:ascii="宋体" w:hAnsi="宋体" w:eastAsia="宋体" w:cs="宋体"/>
          <w:bCs/>
          <w:color w:val="auto"/>
          <w:kern w:val="2"/>
          <w:sz w:val="21"/>
          <w:szCs w:val="21"/>
          <w:highlight w:val="none"/>
          <w:u w:val="single"/>
          <w:lang w:val="en-US" w:eastAsia="zh-CN" w:bidi="ar"/>
        </w:rPr>
        <w:t xml:space="preserve"> </w:t>
      </w:r>
      <w:r>
        <w:rPr>
          <w:rFonts w:hint="eastAsia" w:ascii="宋体" w:hAnsi="宋体" w:cs="宋体"/>
          <w:bCs/>
          <w:color w:val="auto"/>
          <w:kern w:val="2"/>
          <w:sz w:val="21"/>
          <w:szCs w:val="21"/>
          <w:highlight w:val="none"/>
          <w:u w:val="single"/>
          <w:lang w:val="en-US" w:eastAsia="zh-CN" w:bidi="ar"/>
        </w:rPr>
        <w:t xml:space="preserve"> 60日历天</w:t>
      </w:r>
      <w:r>
        <w:rPr>
          <w:rFonts w:hint="eastAsia" w:ascii="宋体" w:hAnsi="宋体" w:eastAsia="宋体" w:cs="宋体"/>
          <w:i w:val="0"/>
          <w:iCs w:val="0"/>
          <w:caps w:val="0"/>
          <w:color w:val="FF0000"/>
          <w:spacing w:val="0"/>
          <w:kern w:val="0"/>
          <w:sz w:val="21"/>
          <w:szCs w:val="21"/>
          <w:highlight w:val="none"/>
          <w:lang w:val="en-US" w:eastAsia="zh-CN" w:bidi="ar"/>
        </w:rPr>
        <w:t> </w:t>
      </w:r>
      <w:r>
        <w:rPr>
          <w:rFonts w:hint="eastAsia" w:ascii="宋体" w:hAnsi="宋体" w:eastAsia="宋体" w:cs="宋体"/>
          <w:bCs/>
          <w:color w:val="FF0000"/>
          <w:kern w:val="2"/>
          <w:sz w:val="21"/>
          <w:szCs w:val="21"/>
          <w:highlight w:val="none"/>
          <w:lang w:val="en-US" w:eastAsia="zh-CN" w:bidi="ar"/>
        </w:rPr>
        <w:t xml:space="preserve"> </w:t>
      </w:r>
      <w:r>
        <w:rPr>
          <w:rFonts w:hint="eastAsia" w:ascii="宋体" w:hAnsi="宋体" w:eastAsia="宋体" w:cs="宋体"/>
          <w:bCs/>
          <w:kern w:val="2"/>
          <w:sz w:val="21"/>
          <w:szCs w:val="21"/>
          <w:highlight w:val="none"/>
          <w:lang w:val="en-US" w:eastAsia="zh-CN" w:bidi="ar"/>
        </w:rPr>
        <w:t xml:space="preserve">   </w:t>
      </w:r>
    </w:p>
    <w:p w14:paraId="29B94B5D">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sz w:val="21"/>
          <w:szCs w:val="21"/>
          <w:highlight w:val="none"/>
          <w:lang w:val="en-US"/>
        </w:rPr>
      </w:pPr>
      <w:r>
        <w:rPr>
          <w:rFonts w:hint="eastAsia" w:ascii="宋体" w:hAnsi="宋体" w:cs="宋体"/>
          <w:bCs/>
          <w:kern w:val="2"/>
          <w:sz w:val="21"/>
          <w:szCs w:val="21"/>
          <w:highlight w:val="none"/>
          <w:lang w:val="en-US" w:eastAsia="zh-CN" w:bidi="ar"/>
        </w:rPr>
        <w:t>8</w:t>
      </w:r>
      <w:r>
        <w:rPr>
          <w:rFonts w:hint="eastAsia" w:ascii="宋体" w:hAnsi="宋体" w:eastAsia="宋体" w:cs="宋体"/>
          <w:bCs/>
          <w:kern w:val="2"/>
          <w:sz w:val="21"/>
          <w:szCs w:val="21"/>
          <w:highlight w:val="none"/>
          <w:lang w:val="en-US" w:eastAsia="zh-CN" w:bidi="ar"/>
        </w:rPr>
        <w:t>、本项目分阶段要求供应</w:t>
      </w:r>
      <w:r>
        <w:rPr>
          <w:rFonts w:hint="eastAsia" w:ascii="Calibri" w:hAnsi="Calibri" w:eastAsia="宋体" w:cs="宋体"/>
          <w:kern w:val="1"/>
          <w:sz w:val="21"/>
          <w:szCs w:val="21"/>
          <w:highlight w:val="none"/>
          <w:lang w:val="en-US" w:eastAsia="zh-CN" w:bidi="ar"/>
        </w:rPr>
        <w:t>商提供以下保证：</w:t>
      </w:r>
    </w:p>
    <w:p w14:paraId="76C59208">
      <w:pPr>
        <w:pStyle w:val="19"/>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iCs/>
          <w:sz w:val="21"/>
          <w:szCs w:val="21"/>
          <w:highlight w:val="none"/>
          <w:lang w:val="en-US"/>
        </w:rPr>
      </w:pPr>
      <w:r>
        <w:rPr>
          <w:rFonts w:hint="default" w:ascii="宋体" w:hAnsi="宋体" w:eastAsia="宋体" w:cs="Wingdings"/>
          <w:iCs/>
          <w:kern w:val="1"/>
          <w:sz w:val="21"/>
          <w:szCs w:val="21"/>
          <w:highlight w:val="none"/>
          <w:lang w:val="en-US" w:eastAsia="zh-CN" w:bidi="ar"/>
        </w:rPr>
        <w:sym w:font="Wingdings" w:char="00A8"/>
      </w:r>
      <w:r>
        <w:rPr>
          <w:rFonts w:hint="eastAsia" w:ascii="宋体" w:hAnsi="宋体" w:eastAsia="宋体" w:cs="宋体"/>
          <w:kern w:val="1"/>
          <w:sz w:val="21"/>
          <w:szCs w:val="21"/>
          <w:highlight w:val="none"/>
          <w:lang w:val="en-US" w:eastAsia="zh-CN" w:bidi="ar"/>
        </w:rPr>
        <w:t>磋商保证金：</w:t>
      </w:r>
      <w:r>
        <w:rPr>
          <w:rFonts w:hint="eastAsia" w:ascii="宋体" w:hAnsi="宋体" w:eastAsia="宋体" w:cs="宋体"/>
          <w:iCs/>
          <w:kern w:val="1"/>
          <w:sz w:val="21"/>
          <w:szCs w:val="21"/>
          <w:highlight w:val="none"/>
          <w:lang w:val="en-US" w:eastAsia="zh-CN" w:bidi="ar"/>
        </w:rPr>
        <w:t>采购项目预算的</w:t>
      </w:r>
      <w:r>
        <w:rPr>
          <w:rFonts w:hint="eastAsia" w:ascii="宋体" w:hAnsi="宋体" w:eastAsia="宋体" w:cs="宋体"/>
          <w:iCs/>
          <w:kern w:val="1"/>
          <w:sz w:val="21"/>
          <w:szCs w:val="21"/>
          <w:highlight w:val="none"/>
          <w:u w:val="single"/>
          <w:lang w:val="en-US" w:eastAsia="zh-CN" w:bidi="ar"/>
        </w:rPr>
        <w:t xml:space="preserve">  /  </w:t>
      </w:r>
      <w:r>
        <w:rPr>
          <w:rFonts w:hint="eastAsia" w:ascii="宋体" w:hAnsi="宋体" w:eastAsia="宋体" w:cs="宋体"/>
          <w:iCs/>
          <w:kern w:val="1"/>
          <w:sz w:val="21"/>
          <w:szCs w:val="21"/>
          <w:highlight w:val="none"/>
          <w:lang w:val="en-US" w:eastAsia="zh-CN" w:bidi="ar"/>
        </w:rPr>
        <w:t>%</w:t>
      </w:r>
      <w:r>
        <w:rPr>
          <w:rFonts w:hint="eastAsia" w:ascii="宋体" w:hAnsi="宋体" w:eastAsia="宋体" w:cs="宋体"/>
          <w:kern w:val="1"/>
          <w:sz w:val="21"/>
          <w:szCs w:val="21"/>
          <w:highlight w:val="none"/>
          <w:lang w:val="en-US" w:eastAsia="zh-CN" w:bidi="ar"/>
        </w:rPr>
        <w:t>；</w:t>
      </w:r>
    </w:p>
    <w:p w14:paraId="3AB6BEB5">
      <w:pPr>
        <w:pStyle w:val="19"/>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iCs/>
          <w:sz w:val="21"/>
          <w:szCs w:val="21"/>
          <w:highlight w:val="none"/>
          <w:lang w:val="en-US"/>
        </w:rPr>
      </w:pPr>
      <w:r>
        <w:rPr>
          <w:rFonts w:hint="default" w:ascii="宋体" w:hAnsi="宋体" w:eastAsia="宋体" w:cs="Wingdings"/>
          <w:iCs/>
          <w:kern w:val="1"/>
          <w:sz w:val="21"/>
          <w:szCs w:val="21"/>
          <w:highlight w:val="none"/>
          <w:lang w:val="en-US" w:eastAsia="zh-CN" w:bidi="ar"/>
        </w:rPr>
        <w:sym w:font="Wingdings" w:char="00A8"/>
      </w:r>
      <w:r>
        <w:rPr>
          <w:rFonts w:hint="eastAsia" w:ascii="宋体" w:hAnsi="宋体" w:eastAsia="宋体" w:cs="宋体"/>
          <w:kern w:val="1"/>
          <w:sz w:val="21"/>
          <w:szCs w:val="21"/>
          <w:highlight w:val="none"/>
          <w:lang w:val="en-US" w:eastAsia="zh-CN" w:bidi="ar"/>
        </w:rPr>
        <w:t>履约保证金：</w:t>
      </w:r>
      <w:r>
        <w:rPr>
          <w:rFonts w:hint="eastAsia" w:ascii="宋体" w:hAnsi="宋体" w:eastAsia="宋体" w:cs="宋体"/>
          <w:iCs/>
          <w:kern w:val="1"/>
          <w:sz w:val="21"/>
          <w:szCs w:val="21"/>
          <w:highlight w:val="none"/>
          <w:lang w:val="en-US" w:eastAsia="zh-CN" w:bidi="ar"/>
        </w:rPr>
        <w:t>成交金额的</w:t>
      </w:r>
      <w:r>
        <w:rPr>
          <w:rFonts w:hint="eastAsia" w:ascii="宋体" w:hAnsi="宋体" w:eastAsia="宋体" w:cs="宋体"/>
          <w:iCs/>
          <w:kern w:val="1"/>
          <w:sz w:val="21"/>
          <w:szCs w:val="21"/>
          <w:highlight w:val="none"/>
          <w:u w:val="single"/>
          <w:lang w:val="en-US" w:eastAsia="zh-CN" w:bidi="ar"/>
        </w:rPr>
        <w:t xml:space="preserve">  /  </w:t>
      </w:r>
      <w:r>
        <w:rPr>
          <w:rFonts w:hint="eastAsia" w:ascii="宋体" w:hAnsi="宋体" w:eastAsia="宋体" w:cs="宋体"/>
          <w:iCs/>
          <w:kern w:val="1"/>
          <w:sz w:val="21"/>
          <w:szCs w:val="21"/>
          <w:highlight w:val="none"/>
          <w:lang w:val="en-US" w:eastAsia="zh-CN" w:bidi="ar"/>
        </w:rPr>
        <w:t>%</w:t>
      </w:r>
      <w:r>
        <w:rPr>
          <w:rFonts w:hint="eastAsia" w:ascii="宋体" w:hAnsi="宋体" w:eastAsia="宋体" w:cs="宋体"/>
          <w:kern w:val="1"/>
          <w:sz w:val="21"/>
          <w:szCs w:val="21"/>
          <w:highlight w:val="none"/>
          <w:lang w:val="en-US" w:eastAsia="zh-CN" w:bidi="ar"/>
        </w:rPr>
        <w:t>；</w:t>
      </w:r>
    </w:p>
    <w:p w14:paraId="1686F8CA">
      <w:pPr>
        <w:pStyle w:val="19"/>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iCs/>
          <w:sz w:val="21"/>
          <w:szCs w:val="21"/>
          <w:highlight w:val="none"/>
          <w:lang w:val="en-US"/>
        </w:rPr>
      </w:pPr>
      <w:r>
        <w:rPr>
          <w:rFonts w:hint="default" w:ascii="宋体" w:hAnsi="宋体" w:eastAsia="宋体" w:cs="Wingdings"/>
          <w:iCs/>
          <w:kern w:val="1"/>
          <w:sz w:val="21"/>
          <w:szCs w:val="21"/>
          <w:highlight w:val="none"/>
          <w:lang w:val="en-US" w:eastAsia="zh-CN" w:bidi="ar"/>
        </w:rPr>
        <w:sym w:font="Wingdings" w:char="00A8"/>
      </w:r>
      <w:r>
        <w:rPr>
          <w:rFonts w:hint="eastAsia" w:ascii="宋体" w:hAnsi="宋体" w:eastAsia="宋体" w:cs="宋体"/>
          <w:iCs/>
          <w:kern w:val="1"/>
          <w:sz w:val="21"/>
          <w:szCs w:val="21"/>
          <w:highlight w:val="none"/>
          <w:lang w:val="en-US" w:eastAsia="zh-CN" w:bidi="ar"/>
        </w:rPr>
        <w:t>预付款保证金：预付款的</w:t>
      </w:r>
      <w:r>
        <w:rPr>
          <w:rFonts w:hint="eastAsia" w:ascii="宋体" w:hAnsi="宋体" w:eastAsia="宋体" w:cs="宋体"/>
          <w:iCs/>
          <w:kern w:val="1"/>
          <w:sz w:val="21"/>
          <w:szCs w:val="21"/>
          <w:highlight w:val="none"/>
          <w:u w:val="single"/>
          <w:lang w:val="en-US" w:eastAsia="zh-CN" w:bidi="ar"/>
        </w:rPr>
        <w:t xml:space="preserve">  /  </w:t>
      </w:r>
      <w:r>
        <w:rPr>
          <w:rFonts w:hint="eastAsia" w:ascii="宋体" w:hAnsi="宋体" w:eastAsia="宋体" w:cs="宋体"/>
          <w:iCs/>
          <w:kern w:val="1"/>
          <w:sz w:val="21"/>
          <w:szCs w:val="21"/>
          <w:highlight w:val="none"/>
          <w:lang w:val="en-US" w:eastAsia="zh-CN" w:bidi="ar"/>
        </w:rPr>
        <w:t>%；</w:t>
      </w:r>
    </w:p>
    <w:p w14:paraId="6AAE1993">
      <w:pPr>
        <w:pStyle w:val="19"/>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iCs/>
          <w:sz w:val="21"/>
          <w:szCs w:val="21"/>
          <w:highlight w:val="none"/>
          <w:lang w:val="en-US"/>
        </w:rPr>
      </w:pPr>
      <w:r>
        <w:rPr>
          <w:rFonts w:hint="default" w:ascii="宋体" w:hAnsi="宋体" w:eastAsia="宋体" w:cs="Wingdings"/>
          <w:iCs/>
          <w:kern w:val="1"/>
          <w:sz w:val="21"/>
          <w:szCs w:val="21"/>
          <w:highlight w:val="none"/>
          <w:lang w:val="en-US" w:eastAsia="zh-CN" w:bidi="ar"/>
        </w:rPr>
        <w:sym w:font="Wingdings" w:char="00FE"/>
      </w:r>
      <w:r>
        <w:rPr>
          <w:rFonts w:hint="eastAsia" w:ascii="宋体" w:hAnsi="宋体" w:eastAsia="宋体" w:cs="宋体"/>
          <w:iCs/>
          <w:kern w:val="1"/>
          <w:sz w:val="21"/>
          <w:szCs w:val="21"/>
          <w:highlight w:val="none"/>
          <w:lang w:val="en-US" w:eastAsia="zh-CN" w:bidi="ar"/>
        </w:rPr>
        <w:t>质量保证金：合同金额的</w:t>
      </w:r>
      <w:r>
        <w:rPr>
          <w:rFonts w:hint="eastAsia" w:ascii="宋体" w:hAnsi="宋体" w:eastAsia="宋体" w:cs="宋体"/>
          <w:iCs/>
          <w:kern w:val="1"/>
          <w:sz w:val="21"/>
          <w:szCs w:val="21"/>
          <w:highlight w:val="none"/>
          <w:u w:val="single"/>
          <w:lang w:val="en-US" w:eastAsia="zh-CN" w:bidi="ar"/>
        </w:rPr>
        <w:t xml:space="preserve">  </w:t>
      </w:r>
      <w:r>
        <w:rPr>
          <w:rFonts w:hint="eastAsia" w:cs="宋体"/>
          <w:iCs/>
          <w:kern w:val="1"/>
          <w:sz w:val="21"/>
          <w:szCs w:val="21"/>
          <w:highlight w:val="none"/>
          <w:u w:val="single"/>
          <w:lang w:val="en-US" w:eastAsia="zh-CN" w:bidi="ar"/>
        </w:rPr>
        <w:t>3</w:t>
      </w:r>
      <w:r>
        <w:rPr>
          <w:rFonts w:hint="eastAsia" w:ascii="宋体" w:hAnsi="宋体" w:eastAsia="宋体" w:cs="宋体"/>
          <w:iCs/>
          <w:kern w:val="1"/>
          <w:sz w:val="21"/>
          <w:szCs w:val="21"/>
          <w:highlight w:val="none"/>
          <w:u w:val="single"/>
          <w:lang w:val="en-US" w:eastAsia="zh-CN" w:bidi="ar"/>
        </w:rPr>
        <w:t xml:space="preserve">  </w:t>
      </w:r>
      <w:r>
        <w:rPr>
          <w:rFonts w:hint="eastAsia" w:ascii="宋体" w:hAnsi="宋体" w:eastAsia="宋体" w:cs="宋体"/>
          <w:iCs/>
          <w:kern w:val="1"/>
          <w:sz w:val="21"/>
          <w:szCs w:val="21"/>
          <w:highlight w:val="none"/>
          <w:lang w:val="en-US" w:eastAsia="zh-CN" w:bidi="ar"/>
        </w:rPr>
        <w:t>%。</w:t>
      </w:r>
    </w:p>
    <w:p w14:paraId="417B7673">
      <w:pPr>
        <w:numPr>
          <w:ilvl w:val="0"/>
          <w:numId w:val="0"/>
        </w:numPr>
        <w:bidi w:val="0"/>
        <w:ind w:left="0" w:leftChars="0" w:firstLine="240" w:firstLineChars="100"/>
        <w:rPr>
          <w:rFonts w:hint="eastAsia"/>
          <w:highlight w:val="none"/>
          <w:lang w:val="en-US"/>
        </w:rPr>
      </w:pPr>
      <w:bookmarkStart w:id="7" w:name="_Toc27692"/>
      <w:r>
        <w:rPr>
          <w:rFonts w:hint="eastAsia" w:ascii="黑体" w:hAnsi="宋体" w:eastAsia="黑体" w:cs="黑体"/>
          <w:b/>
          <w:bCs/>
          <w:kern w:val="2"/>
          <w:sz w:val="24"/>
          <w:szCs w:val="32"/>
          <w:highlight w:val="none"/>
          <w:lang w:val="en-US" w:eastAsia="zh-CN" w:bidi="ar-SA"/>
        </w:rPr>
        <w:t>二、采购人的采购需求</w:t>
      </w:r>
      <w:bookmarkEnd w:id="7"/>
      <w:r>
        <w:rPr>
          <w:rFonts w:hint="eastAsia" w:ascii="黑体" w:hAnsi="宋体" w:eastAsia="黑体" w:cs="黑体"/>
          <w:b/>
          <w:bCs/>
          <w:kern w:val="2"/>
          <w:sz w:val="24"/>
          <w:szCs w:val="32"/>
          <w:highlight w:val="none"/>
          <w:lang w:val="en-US" w:eastAsia="zh-CN" w:bidi="ar-SA"/>
        </w:rPr>
        <w:t xml:space="preserve"> </w:t>
      </w:r>
      <w:r>
        <w:rPr>
          <w:rFonts w:hint="eastAsia"/>
          <w:highlight w:val="none"/>
          <w:lang w:val="en-US" w:eastAsia="zh-CN"/>
        </w:rPr>
        <w:t xml:space="preserve">  </w:t>
      </w:r>
    </w:p>
    <w:tbl>
      <w:tblPr>
        <w:tblStyle w:val="22"/>
        <w:tblpPr w:leftFromText="180" w:rightFromText="180" w:vertAnchor="text" w:horzAnchor="page" w:tblpXSpec="center" w:tblpY="95"/>
        <w:tblOverlap w:val="never"/>
        <w:tblW w:w="929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23"/>
        <w:gridCol w:w="2161"/>
        <w:gridCol w:w="2160"/>
        <w:gridCol w:w="1040"/>
        <w:gridCol w:w="1572"/>
        <w:gridCol w:w="1540"/>
      </w:tblGrid>
      <w:tr w14:paraId="07BB46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28" w:hRule="atLeast"/>
          <w:jc w:val="center"/>
        </w:trPr>
        <w:tc>
          <w:tcPr>
            <w:tcW w:w="823" w:type="dxa"/>
            <w:tcBorders>
              <w:top w:val="double" w:color="auto" w:sz="4" w:space="0"/>
              <w:left w:val="double" w:color="auto" w:sz="4" w:space="0"/>
              <w:bottom w:val="single" w:color="auto" w:sz="6" w:space="0"/>
              <w:right w:val="single" w:color="auto" w:sz="6" w:space="0"/>
            </w:tcBorders>
            <w:noWrap w:val="0"/>
            <w:vAlign w:val="center"/>
          </w:tcPr>
          <w:p w14:paraId="0F8B192D">
            <w:pPr>
              <w:keepNext w:val="0"/>
              <w:keepLines w:val="0"/>
              <w:widowControl w:val="0"/>
              <w:suppressLineNumbers w:val="0"/>
              <w:adjustRightInd w:val="0"/>
              <w:snapToGrid w:val="0"/>
              <w:spacing w:before="0" w:beforeAutospacing="0" w:after="0" w:afterAutospacing="0"/>
              <w:ind w:right="0"/>
              <w:jc w:val="center"/>
              <w:rPr>
                <w:rFonts w:hint="default"/>
                <w:szCs w:val="21"/>
                <w:highlight w:val="none"/>
                <w:lang w:val="en-US"/>
              </w:rPr>
            </w:pPr>
            <w:r>
              <w:rPr>
                <w:rFonts w:hint="eastAsia" w:ascii="Times New Roman" w:hAnsi="Times New Roman" w:eastAsia="宋体" w:cs="宋体"/>
                <w:kern w:val="2"/>
                <w:sz w:val="21"/>
                <w:szCs w:val="21"/>
                <w:highlight w:val="none"/>
                <w:lang w:val="en-US" w:eastAsia="zh-CN" w:bidi="ar"/>
              </w:rPr>
              <w:t>包号</w:t>
            </w:r>
          </w:p>
        </w:tc>
        <w:tc>
          <w:tcPr>
            <w:tcW w:w="2161" w:type="dxa"/>
            <w:tcBorders>
              <w:top w:val="double" w:color="auto" w:sz="4" w:space="0"/>
              <w:left w:val="single" w:color="auto" w:sz="6" w:space="0"/>
              <w:bottom w:val="single" w:color="auto" w:sz="6" w:space="0"/>
              <w:right w:val="single" w:color="auto" w:sz="6" w:space="0"/>
            </w:tcBorders>
            <w:noWrap w:val="0"/>
            <w:vAlign w:val="center"/>
          </w:tcPr>
          <w:p w14:paraId="7186129F">
            <w:pPr>
              <w:keepNext w:val="0"/>
              <w:keepLines w:val="0"/>
              <w:widowControl w:val="0"/>
              <w:suppressLineNumbers w:val="0"/>
              <w:adjustRightInd w:val="0"/>
              <w:snapToGrid w:val="0"/>
              <w:spacing w:before="0" w:beforeAutospacing="0" w:after="0" w:afterAutospacing="0"/>
              <w:ind w:left="0" w:right="0"/>
              <w:jc w:val="center"/>
              <w:rPr>
                <w:rFonts w:hint="default"/>
                <w:szCs w:val="21"/>
                <w:highlight w:val="none"/>
                <w:lang w:val="en-US"/>
              </w:rPr>
            </w:pPr>
            <w:r>
              <w:rPr>
                <w:rFonts w:hint="eastAsia" w:ascii="Times New Roman" w:hAnsi="Times New Roman" w:eastAsia="宋体" w:cs="宋体"/>
                <w:kern w:val="2"/>
                <w:sz w:val="21"/>
                <w:szCs w:val="21"/>
                <w:highlight w:val="none"/>
                <w:lang w:val="en-US" w:eastAsia="zh-CN" w:bidi="ar"/>
              </w:rPr>
              <w:t>包名称</w:t>
            </w:r>
          </w:p>
        </w:tc>
        <w:tc>
          <w:tcPr>
            <w:tcW w:w="2160" w:type="dxa"/>
            <w:tcBorders>
              <w:top w:val="double" w:color="auto" w:sz="4" w:space="0"/>
              <w:left w:val="single" w:color="auto" w:sz="6" w:space="0"/>
              <w:bottom w:val="single" w:color="auto" w:sz="6" w:space="0"/>
              <w:right w:val="single" w:color="auto" w:sz="6" w:space="0"/>
            </w:tcBorders>
            <w:noWrap w:val="0"/>
            <w:vAlign w:val="center"/>
          </w:tcPr>
          <w:p w14:paraId="2566FC72">
            <w:pPr>
              <w:keepNext w:val="0"/>
              <w:keepLines w:val="0"/>
              <w:widowControl w:val="0"/>
              <w:suppressLineNumbers w:val="0"/>
              <w:adjustRightInd w:val="0"/>
              <w:snapToGrid w:val="0"/>
              <w:spacing w:before="0" w:beforeAutospacing="0" w:after="0" w:afterAutospacing="0"/>
              <w:ind w:left="0" w:right="0"/>
              <w:jc w:val="center"/>
              <w:rPr>
                <w:rFonts w:hint="default"/>
                <w:szCs w:val="21"/>
                <w:highlight w:val="none"/>
                <w:lang w:val="en-US"/>
              </w:rPr>
            </w:pPr>
            <w:r>
              <w:rPr>
                <w:rFonts w:hint="eastAsia" w:ascii="Times New Roman" w:hAnsi="Times New Roman" w:eastAsia="宋体" w:cs="宋体"/>
                <w:kern w:val="2"/>
                <w:sz w:val="21"/>
                <w:szCs w:val="21"/>
                <w:highlight w:val="none"/>
                <w:lang w:val="en-US" w:eastAsia="zh-CN" w:bidi="ar"/>
              </w:rPr>
              <w:t>标的名称</w:t>
            </w:r>
          </w:p>
        </w:tc>
        <w:tc>
          <w:tcPr>
            <w:tcW w:w="1040" w:type="dxa"/>
            <w:tcBorders>
              <w:top w:val="double" w:color="auto" w:sz="4" w:space="0"/>
              <w:left w:val="single" w:color="auto" w:sz="4" w:space="0"/>
              <w:bottom w:val="single" w:color="auto" w:sz="6" w:space="0"/>
              <w:right w:val="single" w:color="auto" w:sz="6" w:space="0"/>
            </w:tcBorders>
            <w:noWrap w:val="0"/>
            <w:vAlign w:val="center"/>
          </w:tcPr>
          <w:p w14:paraId="1E5404BB">
            <w:pPr>
              <w:keepNext w:val="0"/>
              <w:keepLines w:val="0"/>
              <w:widowControl w:val="0"/>
              <w:suppressLineNumbers w:val="0"/>
              <w:adjustRightInd w:val="0"/>
              <w:snapToGrid w:val="0"/>
              <w:spacing w:before="0" w:beforeAutospacing="0" w:after="0" w:afterAutospacing="0"/>
              <w:ind w:left="0" w:right="0"/>
              <w:jc w:val="center"/>
              <w:rPr>
                <w:rFonts w:hint="default"/>
                <w:szCs w:val="21"/>
                <w:highlight w:val="none"/>
                <w:lang w:val="en-US"/>
              </w:rPr>
            </w:pPr>
            <w:r>
              <w:rPr>
                <w:rFonts w:hint="eastAsia" w:ascii="Times New Roman" w:hAnsi="Times New Roman" w:eastAsia="宋体" w:cs="宋体"/>
                <w:kern w:val="2"/>
                <w:sz w:val="21"/>
                <w:szCs w:val="21"/>
                <w:highlight w:val="none"/>
                <w:lang w:val="en-US" w:eastAsia="zh-CN" w:bidi="ar"/>
              </w:rPr>
              <w:t>简要技术要求</w:t>
            </w:r>
          </w:p>
        </w:tc>
        <w:tc>
          <w:tcPr>
            <w:tcW w:w="1572" w:type="dxa"/>
            <w:tcBorders>
              <w:top w:val="double" w:color="auto" w:sz="4" w:space="0"/>
              <w:left w:val="single" w:color="auto" w:sz="6" w:space="0"/>
              <w:bottom w:val="single" w:color="auto" w:sz="6" w:space="0"/>
              <w:right w:val="single" w:color="auto" w:sz="6" w:space="0"/>
            </w:tcBorders>
            <w:noWrap w:val="0"/>
            <w:vAlign w:val="center"/>
          </w:tcPr>
          <w:p w14:paraId="0191A551">
            <w:pPr>
              <w:keepNext w:val="0"/>
              <w:keepLines w:val="0"/>
              <w:widowControl w:val="0"/>
              <w:suppressLineNumbers w:val="0"/>
              <w:adjustRightInd w:val="0"/>
              <w:snapToGrid w:val="0"/>
              <w:spacing w:before="0" w:beforeAutospacing="0" w:after="0" w:afterAutospacing="0"/>
              <w:ind w:left="0" w:right="0"/>
              <w:jc w:val="center"/>
              <w:rPr>
                <w:rFonts w:hint="default"/>
                <w:szCs w:val="21"/>
                <w:highlight w:val="none"/>
                <w:lang w:val="en-US"/>
              </w:rPr>
            </w:pPr>
            <w:r>
              <w:rPr>
                <w:rFonts w:hint="eastAsia" w:ascii="Times New Roman" w:hAnsi="Times New Roman" w:eastAsia="宋体" w:cs="宋体"/>
                <w:kern w:val="2"/>
                <w:sz w:val="21"/>
                <w:szCs w:val="21"/>
                <w:highlight w:val="none"/>
                <w:lang w:val="en-US" w:eastAsia="zh-CN" w:bidi="ar"/>
              </w:rPr>
              <w:t>标的预算（</w:t>
            </w:r>
            <w:r>
              <w:rPr>
                <w:rFonts w:hint="eastAsia" w:cs="宋体"/>
                <w:kern w:val="2"/>
                <w:sz w:val="21"/>
                <w:szCs w:val="21"/>
                <w:highlight w:val="none"/>
                <w:lang w:val="en-US" w:eastAsia="zh-CN" w:bidi="ar"/>
              </w:rPr>
              <w:t>元</w:t>
            </w:r>
            <w:r>
              <w:rPr>
                <w:rFonts w:hint="eastAsia" w:ascii="Times New Roman" w:hAnsi="Times New Roman" w:eastAsia="宋体" w:cs="宋体"/>
                <w:kern w:val="2"/>
                <w:sz w:val="21"/>
                <w:szCs w:val="21"/>
                <w:highlight w:val="none"/>
                <w:lang w:val="en-US" w:eastAsia="zh-CN" w:bidi="ar"/>
              </w:rPr>
              <w:t>）</w:t>
            </w:r>
          </w:p>
        </w:tc>
        <w:tc>
          <w:tcPr>
            <w:tcW w:w="1540" w:type="dxa"/>
            <w:tcBorders>
              <w:top w:val="double" w:color="auto" w:sz="4" w:space="0"/>
              <w:left w:val="single" w:color="auto" w:sz="6" w:space="0"/>
              <w:bottom w:val="single" w:color="auto" w:sz="6" w:space="0"/>
              <w:right w:val="single" w:color="auto" w:sz="6" w:space="0"/>
            </w:tcBorders>
            <w:noWrap w:val="0"/>
            <w:vAlign w:val="center"/>
          </w:tcPr>
          <w:p w14:paraId="320B044B">
            <w:pPr>
              <w:keepNext w:val="0"/>
              <w:keepLines w:val="0"/>
              <w:widowControl w:val="0"/>
              <w:suppressLineNumbers w:val="0"/>
              <w:adjustRightInd w:val="0"/>
              <w:snapToGrid w:val="0"/>
              <w:spacing w:before="0" w:beforeAutospacing="0" w:after="0" w:afterAutospacing="0"/>
              <w:ind w:left="0" w:right="0"/>
              <w:jc w:val="center"/>
              <w:rPr>
                <w:rFonts w:hint="default"/>
                <w:szCs w:val="21"/>
                <w:highlight w:val="none"/>
                <w:lang w:val="en-US"/>
              </w:rPr>
            </w:pPr>
            <w:r>
              <w:rPr>
                <w:rFonts w:hint="eastAsia" w:ascii="Times New Roman" w:hAnsi="Times New Roman" w:eastAsia="宋体" w:cs="宋体"/>
                <w:kern w:val="2"/>
                <w:sz w:val="21"/>
                <w:szCs w:val="21"/>
                <w:highlight w:val="none"/>
                <w:lang w:val="en-US" w:eastAsia="zh-CN" w:bidi="ar"/>
              </w:rPr>
              <w:t>采购项目最高限价（元）</w:t>
            </w:r>
          </w:p>
        </w:tc>
      </w:tr>
      <w:tr w14:paraId="464F8D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249" w:hRule="atLeast"/>
          <w:jc w:val="center"/>
        </w:trPr>
        <w:tc>
          <w:tcPr>
            <w:tcW w:w="823" w:type="dxa"/>
            <w:tcBorders>
              <w:top w:val="single" w:color="auto" w:sz="6" w:space="0"/>
              <w:left w:val="double" w:color="auto" w:sz="4" w:space="0"/>
              <w:bottom w:val="double" w:color="auto" w:sz="4" w:space="0"/>
              <w:right w:val="single" w:color="auto" w:sz="6" w:space="0"/>
            </w:tcBorders>
            <w:noWrap w:val="0"/>
            <w:vAlign w:val="center"/>
          </w:tcPr>
          <w:p w14:paraId="3C2E94C9">
            <w:pPr>
              <w:keepNext w:val="0"/>
              <w:keepLines w:val="0"/>
              <w:pageBreakBefore w:val="0"/>
              <w:widowControl w:val="0"/>
              <w:suppressLineNumbers w:val="0"/>
              <w:kinsoku/>
              <w:wordWrap/>
              <w:overflowPunct/>
              <w:topLinePunct w:val="0"/>
              <w:autoSpaceDE/>
              <w:autoSpaceDN/>
              <w:bidi w:val="0"/>
              <w:adjustRightInd w:val="0"/>
              <w:snapToGrid w:val="0"/>
              <w:spacing w:beforeAutospacing="0" w:after="0" w:afterAutospacing="0" w:line="360" w:lineRule="auto"/>
              <w:ind w:left="0" w:right="0"/>
              <w:jc w:val="center"/>
              <w:textAlignment w:val="auto"/>
              <w:rPr>
                <w:rFonts w:hint="default" w:eastAsia="宋体"/>
                <w:szCs w:val="21"/>
                <w:highlight w:val="none"/>
                <w:lang w:val="en-US" w:eastAsia="zh-CN"/>
              </w:rPr>
            </w:pPr>
            <w:r>
              <w:rPr>
                <w:rFonts w:hint="eastAsia"/>
                <w:szCs w:val="21"/>
                <w:highlight w:val="none"/>
                <w:lang w:val="en-US" w:eastAsia="zh-CN"/>
              </w:rPr>
              <w:t>1</w:t>
            </w:r>
          </w:p>
        </w:tc>
        <w:tc>
          <w:tcPr>
            <w:tcW w:w="2161" w:type="dxa"/>
            <w:tcBorders>
              <w:top w:val="single" w:color="auto" w:sz="6" w:space="0"/>
              <w:left w:val="single" w:color="auto" w:sz="6" w:space="0"/>
              <w:bottom w:val="double" w:color="auto" w:sz="4" w:space="0"/>
              <w:right w:val="single" w:color="auto" w:sz="6" w:space="0"/>
            </w:tcBorders>
            <w:noWrap w:val="0"/>
            <w:vAlign w:val="center"/>
          </w:tcPr>
          <w:p w14:paraId="24834C1B">
            <w:pPr>
              <w:keepNext w:val="0"/>
              <w:keepLines w:val="0"/>
              <w:pageBreakBefore w:val="0"/>
              <w:widowControl w:val="0"/>
              <w:suppressLineNumbers w:val="0"/>
              <w:kinsoku/>
              <w:wordWrap/>
              <w:overflowPunct/>
              <w:topLinePunct w:val="0"/>
              <w:autoSpaceDE/>
              <w:autoSpaceDN/>
              <w:bidi w:val="0"/>
              <w:adjustRightInd w:val="0"/>
              <w:snapToGrid w:val="0"/>
              <w:spacing w:beforeAutospacing="0" w:after="0" w:afterAutospacing="0" w:line="240" w:lineRule="auto"/>
              <w:ind w:left="0" w:right="0"/>
              <w:jc w:val="center"/>
              <w:textAlignment w:val="auto"/>
              <w:rPr>
                <w:rFonts w:hint="default"/>
                <w:szCs w:val="21"/>
                <w:highlight w:val="none"/>
                <w:lang w:val="en-US"/>
              </w:rPr>
            </w:pPr>
            <w:r>
              <w:rPr>
                <w:rFonts w:hint="eastAsia"/>
                <w:szCs w:val="21"/>
                <w:highlight w:val="none"/>
                <w:lang w:val="en-US" w:eastAsia="zh-CN"/>
              </w:rPr>
              <w:t>鹤北新城城中村改造安置区配电工程（外线部分）（第三次）</w:t>
            </w:r>
          </w:p>
        </w:tc>
        <w:tc>
          <w:tcPr>
            <w:tcW w:w="2160" w:type="dxa"/>
            <w:tcBorders>
              <w:top w:val="single" w:color="auto" w:sz="6" w:space="0"/>
              <w:left w:val="single" w:color="auto" w:sz="6" w:space="0"/>
              <w:right w:val="single" w:color="auto" w:sz="6" w:space="0"/>
            </w:tcBorders>
            <w:noWrap w:val="0"/>
            <w:vAlign w:val="center"/>
          </w:tcPr>
          <w:p w14:paraId="24BDD8E2">
            <w:pPr>
              <w:keepNext w:val="0"/>
              <w:keepLines w:val="0"/>
              <w:pageBreakBefore w:val="0"/>
              <w:widowControl w:val="0"/>
              <w:suppressLineNumbers w:val="0"/>
              <w:kinsoku/>
              <w:wordWrap/>
              <w:overflowPunct/>
              <w:topLinePunct w:val="0"/>
              <w:autoSpaceDE/>
              <w:autoSpaceDN/>
              <w:bidi w:val="0"/>
              <w:adjustRightInd w:val="0"/>
              <w:snapToGrid w:val="0"/>
              <w:spacing w:beforeAutospacing="0" w:after="0" w:afterAutospacing="0"/>
              <w:ind w:left="0" w:right="0"/>
              <w:jc w:val="center"/>
              <w:textAlignment w:val="auto"/>
              <w:rPr>
                <w:rFonts w:hint="default"/>
                <w:szCs w:val="21"/>
                <w:highlight w:val="none"/>
                <w:lang w:val="en-US"/>
              </w:rPr>
            </w:pPr>
            <w:r>
              <w:rPr>
                <w:rFonts w:hint="eastAsia"/>
                <w:szCs w:val="21"/>
                <w:highlight w:val="none"/>
                <w:lang w:val="en-US" w:eastAsia="zh-CN"/>
              </w:rPr>
              <w:t>鹤北新城城中村改造安置区配电工程（外线部分）（第三次）</w:t>
            </w:r>
          </w:p>
        </w:tc>
        <w:tc>
          <w:tcPr>
            <w:tcW w:w="1040" w:type="dxa"/>
            <w:tcBorders>
              <w:top w:val="single" w:color="auto" w:sz="6" w:space="0"/>
              <w:left w:val="single" w:color="auto" w:sz="4" w:space="0"/>
              <w:right w:val="single" w:color="auto" w:sz="6" w:space="0"/>
            </w:tcBorders>
            <w:noWrap w:val="0"/>
            <w:vAlign w:val="center"/>
          </w:tcPr>
          <w:p w14:paraId="20B5E1BB">
            <w:pPr>
              <w:keepNext w:val="0"/>
              <w:keepLines w:val="0"/>
              <w:pageBreakBefore w:val="0"/>
              <w:widowControl w:val="0"/>
              <w:suppressLineNumbers w:val="0"/>
              <w:kinsoku/>
              <w:wordWrap/>
              <w:overflowPunct/>
              <w:topLinePunct w:val="0"/>
              <w:autoSpaceDE/>
              <w:autoSpaceDN/>
              <w:bidi w:val="0"/>
              <w:adjustRightInd w:val="0"/>
              <w:snapToGrid w:val="0"/>
              <w:spacing w:beforeAutospacing="0" w:after="0" w:afterAutospacing="0"/>
              <w:ind w:left="0" w:right="0"/>
              <w:jc w:val="center"/>
              <w:textAlignment w:val="auto"/>
              <w:rPr>
                <w:rFonts w:hint="default"/>
                <w:szCs w:val="21"/>
                <w:highlight w:val="none"/>
                <w:lang w:val="en-US"/>
              </w:rPr>
            </w:pPr>
            <w:r>
              <w:rPr>
                <w:rFonts w:hint="eastAsia" w:ascii="Times New Roman" w:hAnsi="Times New Roman" w:eastAsia="宋体" w:cs="宋体"/>
                <w:kern w:val="2"/>
                <w:sz w:val="21"/>
                <w:szCs w:val="21"/>
                <w:highlight w:val="none"/>
                <w:lang w:val="en-US" w:eastAsia="zh-CN" w:bidi="ar"/>
              </w:rPr>
              <w:t>详见磋商文件</w:t>
            </w:r>
          </w:p>
        </w:tc>
        <w:tc>
          <w:tcPr>
            <w:tcW w:w="1572" w:type="dxa"/>
            <w:tcBorders>
              <w:top w:val="single" w:color="auto" w:sz="6" w:space="0"/>
              <w:left w:val="single" w:color="auto" w:sz="6" w:space="0"/>
              <w:right w:val="single" w:color="auto" w:sz="6" w:space="0"/>
            </w:tcBorders>
            <w:noWrap w:val="0"/>
            <w:vAlign w:val="center"/>
          </w:tcPr>
          <w:p w14:paraId="1E69E899">
            <w:pPr>
              <w:keepNext w:val="0"/>
              <w:keepLines w:val="0"/>
              <w:pageBreakBefore w:val="0"/>
              <w:widowControl/>
              <w:suppressLineNumbers w:val="0"/>
              <w:kinsoku/>
              <w:wordWrap/>
              <w:overflowPunct/>
              <w:topLinePunct w:val="0"/>
              <w:autoSpaceDE/>
              <w:autoSpaceDN/>
              <w:bidi w:val="0"/>
              <w:spacing w:beforeAutospacing="0" w:after="0" w:afterAutospacing="0" w:line="240" w:lineRule="auto"/>
              <w:ind w:left="0" w:leftChars="0" w:right="0" w:rightChars="0"/>
              <w:jc w:val="center"/>
              <w:textAlignment w:val="auto"/>
              <w:rPr>
                <w:rFonts w:hint="eastAsia" w:eastAsia="宋体"/>
                <w:highlight w:val="none"/>
                <w:u w:val="none"/>
                <w:lang w:val="en-US" w:eastAsia="zh-CN"/>
              </w:rPr>
            </w:pPr>
            <w:r>
              <w:rPr>
                <w:rFonts w:hint="eastAsia"/>
                <w:highlight w:val="none"/>
                <w:u w:val="none"/>
                <w:lang w:val="en-US" w:eastAsia="zh-CN"/>
              </w:rPr>
              <w:t>3987082.63元</w:t>
            </w:r>
          </w:p>
        </w:tc>
        <w:tc>
          <w:tcPr>
            <w:tcW w:w="1540" w:type="dxa"/>
            <w:tcBorders>
              <w:top w:val="single" w:color="auto" w:sz="6" w:space="0"/>
              <w:left w:val="single" w:color="auto" w:sz="6" w:space="0"/>
              <w:right w:val="single" w:color="auto" w:sz="6" w:space="0"/>
            </w:tcBorders>
            <w:noWrap w:val="0"/>
            <w:vAlign w:val="center"/>
          </w:tcPr>
          <w:p w14:paraId="50133837">
            <w:pPr>
              <w:keepNext w:val="0"/>
              <w:keepLines w:val="0"/>
              <w:pageBreakBefore w:val="0"/>
              <w:widowControl/>
              <w:suppressLineNumbers w:val="0"/>
              <w:kinsoku/>
              <w:wordWrap/>
              <w:overflowPunct/>
              <w:topLinePunct w:val="0"/>
              <w:autoSpaceDE/>
              <w:autoSpaceDN/>
              <w:bidi w:val="0"/>
              <w:spacing w:beforeAutospacing="0" w:after="0" w:afterAutospacing="0" w:line="240" w:lineRule="auto"/>
              <w:ind w:left="0" w:leftChars="0" w:right="0" w:rightChars="0"/>
              <w:jc w:val="center"/>
              <w:textAlignment w:val="auto"/>
              <w:rPr>
                <w:rFonts w:hint="default" w:eastAsia="宋体"/>
                <w:szCs w:val="21"/>
                <w:highlight w:val="none"/>
                <w:u w:val="none"/>
                <w:lang w:val="en-US" w:eastAsia="zh-CN"/>
              </w:rPr>
            </w:pPr>
            <w:r>
              <w:rPr>
                <w:rFonts w:hint="eastAsia"/>
                <w:highlight w:val="none"/>
                <w:u w:val="none"/>
                <w:lang w:val="en-US" w:eastAsia="zh-CN"/>
              </w:rPr>
              <w:t>3987082.63元</w:t>
            </w:r>
          </w:p>
        </w:tc>
      </w:tr>
    </w:tbl>
    <w:p w14:paraId="66DF8E83">
      <w:pPr>
        <w:widowControl/>
        <w:spacing w:before="76" w:after="100" w:line="360" w:lineRule="auto"/>
        <w:ind w:firstLine="240" w:firstLineChars="100"/>
        <w:jc w:val="left"/>
        <w:rPr>
          <w:rFonts w:hint="eastAsia" w:ascii="黑体" w:hAnsi="宋体" w:eastAsia="黑体" w:cs="黑体"/>
          <w:b/>
          <w:bCs/>
          <w:kern w:val="2"/>
          <w:sz w:val="24"/>
          <w:szCs w:val="32"/>
          <w:highlight w:val="none"/>
          <w:lang w:val="en-US" w:eastAsia="zh-CN" w:bidi="ar-SA"/>
        </w:rPr>
      </w:pPr>
      <w:bookmarkStart w:id="8" w:name="_Toc16687"/>
      <w:bookmarkStart w:id="9" w:name="_Toc27798"/>
      <w:bookmarkStart w:id="10" w:name="_Toc110606590"/>
      <w:bookmarkStart w:id="11" w:name="_Toc25307"/>
      <w:r>
        <w:rPr>
          <w:rFonts w:hint="eastAsia" w:ascii="黑体" w:hAnsi="宋体" w:eastAsia="黑体" w:cs="黑体"/>
          <w:b/>
          <w:bCs/>
          <w:kern w:val="2"/>
          <w:sz w:val="24"/>
          <w:szCs w:val="32"/>
          <w:highlight w:val="none"/>
          <w:lang w:val="en-US" w:eastAsia="zh-CN" w:bidi="ar-SA"/>
        </w:rPr>
        <w:t>三、</w:t>
      </w:r>
      <w:bookmarkEnd w:id="8"/>
      <w:bookmarkEnd w:id="9"/>
      <w:bookmarkEnd w:id="10"/>
      <w:bookmarkEnd w:id="11"/>
      <w:bookmarkStart w:id="12" w:name="_Toc4640"/>
      <w:r>
        <w:rPr>
          <w:rFonts w:hint="eastAsia" w:ascii="黑体" w:hAnsi="宋体" w:eastAsia="黑体" w:cs="黑体"/>
          <w:b/>
          <w:bCs/>
          <w:kern w:val="2"/>
          <w:sz w:val="24"/>
          <w:szCs w:val="32"/>
          <w:highlight w:val="none"/>
          <w:lang w:val="en-US" w:eastAsia="zh-CN" w:bidi="ar-SA"/>
        </w:rPr>
        <w:t>供应商的资格要求：</w:t>
      </w:r>
      <w:bookmarkEnd w:id="12"/>
    </w:p>
    <w:p w14:paraId="131F5AC7">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right="0" w:firstLine="420" w:firstLineChars="200"/>
        <w:jc w:val="both"/>
        <w:textAlignment w:val="auto"/>
        <w:rPr>
          <w:rFonts w:hint="eastAsia" w:ascii="宋体" w:hAnsi="宋体" w:eastAsia="宋体" w:cs="宋体"/>
          <w:szCs w:val="21"/>
          <w:highlight w:val="none"/>
          <w:lang w:val="en-US"/>
        </w:rPr>
      </w:pPr>
      <w:r>
        <w:rPr>
          <w:rFonts w:hint="eastAsia" w:ascii="宋体" w:hAnsi="宋体" w:eastAsia="宋体" w:cs="宋体"/>
          <w:kern w:val="2"/>
          <w:sz w:val="21"/>
          <w:szCs w:val="21"/>
          <w:highlight w:val="none"/>
          <w:lang w:val="en-US" w:eastAsia="zh-CN" w:bidi="ar"/>
        </w:rPr>
        <w:t>1、供应商的基本资格条件：供应商必须是在中华人民共和国境内注册登记的法人、其他组织或者自然人，且应当符合《政府采购法》第二十二条第一款的规定。</w:t>
      </w:r>
    </w:p>
    <w:p w14:paraId="5DB491E6">
      <w:pPr>
        <w:pStyle w:val="21"/>
        <w:spacing w:line="360" w:lineRule="auto"/>
        <w:ind w:left="0" w:leftChars="0" w:firstLine="420" w:firstLineChars="200"/>
        <w:rPr>
          <w:rFonts w:hint="eastAsia" w:ascii="宋体" w:hAnsi="宋体" w:eastAsia="宋体" w:cs="宋体"/>
          <w:kern w:val="2"/>
          <w:sz w:val="21"/>
          <w:szCs w:val="21"/>
          <w:highlight w:val="none"/>
          <w:lang w:val="en-US" w:eastAsia="zh-CN" w:bidi="ar"/>
        </w:rPr>
      </w:pPr>
      <w:r>
        <w:rPr>
          <w:rFonts w:hint="eastAsia" w:cs="宋体"/>
          <w:b/>
          <w:bCs/>
          <w:kern w:val="2"/>
          <w:sz w:val="21"/>
          <w:szCs w:val="21"/>
          <w:highlight w:val="none"/>
          <w:lang w:val="en-US" w:eastAsia="zh-CN" w:bidi="ar"/>
        </w:rPr>
        <w:t>2</w:t>
      </w:r>
      <w:r>
        <w:rPr>
          <w:rFonts w:hint="eastAsia" w:ascii="宋体" w:hAnsi="宋体" w:cs="宋体"/>
          <w:b/>
          <w:bCs/>
          <w:kern w:val="2"/>
          <w:sz w:val="21"/>
          <w:szCs w:val="21"/>
          <w:highlight w:val="none"/>
          <w:lang w:val="en-US" w:eastAsia="zh-CN" w:bidi="ar"/>
        </w:rPr>
        <w:t>、</w:t>
      </w:r>
      <w:r>
        <w:rPr>
          <w:rFonts w:hint="eastAsia" w:ascii="宋体" w:hAnsi="宋体" w:eastAsia="宋体" w:cs="宋体"/>
          <w:b/>
          <w:bCs/>
          <w:kern w:val="2"/>
          <w:sz w:val="21"/>
          <w:szCs w:val="21"/>
          <w:highlight w:val="none"/>
          <w:lang w:val="en-US" w:eastAsia="zh-CN" w:bidi="ar"/>
        </w:rPr>
        <w:t>采购项目的特定资格条件</w:t>
      </w:r>
      <w:r>
        <w:rPr>
          <w:rFonts w:hint="eastAsia" w:ascii="宋体" w:hAnsi="宋体" w:eastAsia="宋体" w:cs="宋体"/>
          <w:kern w:val="2"/>
          <w:sz w:val="21"/>
          <w:szCs w:val="21"/>
          <w:highlight w:val="none"/>
          <w:lang w:val="en-US" w:eastAsia="zh-CN" w:bidi="ar"/>
        </w:rPr>
        <w:t>：</w:t>
      </w:r>
    </w:p>
    <w:p w14:paraId="7E1ADAC9">
      <w:pPr>
        <w:spacing w:line="360" w:lineRule="auto"/>
        <w:ind w:firstLine="525" w:firstLineChars="250"/>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（1）湖南省外企业须按照湘建建[2015]190号文件要求办理省外入湘企业基本情况登记（以“湖南省住房和城乡建设网”查询为准）或具有入湘施工登记证（处于有效期内）；</w:t>
      </w:r>
    </w:p>
    <w:p w14:paraId="4C400FE1">
      <w:pPr>
        <w:spacing w:line="360" w:lineRule="auto"/>
        <w:ind w:firstLine="525" w:firstLineChars="250"/>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（2）具备建设行政主管部门颁发的电力工程施工总承包叁级及以上资质或输变电工程专业承包叁级及以上资质，同时具备国家电力监管部门颁发的承装类、承修类、承试类</w:t>
      </w:r>
      <w:r>
        <w:rPr>
          <w:rFonts w:hint="eastAsia" w:ascii="宋体" w:hAnsi="宋体" w:cs="宋体"/>
          <w:kern w:val="2"/>
          <w:sz w:val="21"/>
          <w:szCs w:val="21"/>
          <w:highlight w:val="none"/>
          <w:lang w:val="en-US" w:eastAsia="zh-CN" w:bidi="ar"/>
        </w:rPr>
        <w:t>五</w:t>
      </w:r>
      <w:r>
        <w:rPr>
          <w:rFonts w:hint="eastAsia" w:ascii="宋体" w:hAnsi="宋体" w:eastAsia="宋体" w:cs="宋体"/>
          <w:kern w:val="2"/>
          <w:sz w:val="21"/>
          <w:szCs w:val="21"/>
          <w:highlight w:val="none"/>
          <w:lang w:val="en-US" w:eastAsia="zh-CN" w:bidi="ar"/>
        </w:rPr>
        <w:t>级及以上《承装（修、试）电力设施许可证》，</w:t>
      </w:r>
      <w:r>
        <w:rPr>
          <w:rFonts w:hint="eastAsia" w:ascii="宋体" w:hAnsi="宋体" w:cs="宋体"/>
          <w:kern w:val="2"/>
          <w:sz w:val="21"/>
          <w:szCs w:val="21"/>
          <w:highlight w:val="none"/>
          <w:lang w:val="en-US" w:eastAsia="zh-CN" w:bidi="ar"/>
        </w:rPr>
        <w:t>且</w:t>
      </w:r>
      <w:r>
        <w:rPr>
          <w:rFonts w:hint="eastAsia" w:ascii="宋体" w:hAnsi="宋体" w:eastAsia="宋体" w:cs="宋体"/>
          <w:kern w:val="2"/>
          <w:sz w:val="21"/>
          <w:szCs w:val="21"/>
          <w:highlight w:val="none"/>
          <w:lang w:val="en-US" w:eastAsia="zh-CN" w:bidi="ar"/>
        </w:rPr>
        <w:t>安全生产许可证处于有效期。</w:t>
      </w:r>
    </w:p>
    <w:p w14:paraId="51A79513">
      <w:pPr>
        <w:spacing w:line="360" w:lineRule="auto"/>
        <w:ind w:firstLine="525" w:firstLineChars="250"/>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（3）拟任项目经理具备电力工程或机电工程专业二级及以上注册建造师执业资格，具备有效的B类安全生产考核合格证书，且无在建工程（提供</w:t>
      </w:r>
      <w:r>
        <w:rPr>
          <w:rFonts w:hint="eastAsia" w:ascii="宋体" w:hAnsi="宋体" w:cs="宋体"/>
          <w:kern w:val="2"/>
          <w:sz w:val="21"/>
          <w:szCs w:val="21"/>
          <w:highlight w:val="none"/>
          <w:lang w:val="en-US" w:eastAsia="zh-CN" w:bidi="ar"/>
        </w:rPr>
        <w:t>无在建</w:t>
      </w:r>
      <w:r>
        <w:rPr>
          <w:rFonts w:hint="eastAsia" w:ascii="宋体" w:hAnsi="宋体" w:eastAsia="宋体" w:cs="宋体"/>
          <w:kern w:val="2"/>
          <w:sz w:val="21"/>
          <w:szCs w:val="21"/>
          <w:highlight w:val="none"/>
          <w:lang w:val="en-US" w:eastAsia="zh-CN" w:bidi="ar"/>
        </w:rPr>
        <w:t>承诺书，格式自拟）。</w:t>
      </w:r>
    </w:p>
    <w:p w14:paraId="16767D52">
      <w:pPr>
        <w:spacing w:line="360" w:lineRule="auto"/>
        <w:ind w:firstLine="525" w:firstLineChars="250"/>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（4）项目其他关键岗位人员，可承诺（格式自拟）中标后施工项目部关键岗位人员按《湖南省建设工程施工项目部和现场监理部关键岗位人员配备管理办法》（湘建建〔2020〕208号）要求配备。</w:t>
      </w:r>
    </w:p>
    <w:p w14:paraId="7740B385">
      <w:pPr>
        <w:keepNext w:val="0"/>
        <w:keepLines w:val="0"/>
        <w:pageBreakBefore w:val="0"/>
        <w:widowControl w:val="0"/>
        <w:numPr>
          <w:ilvl w:val="0"/>
          <w:numId w:val="0"/>
        </w:numPr>
        <w:suppressLineNumbers w:val="0"/>
        <w:kinsoku/>
        <w:wordWrap/>
        <w:overflowPunct/>
        <w:topLinePunct w:val="0"/>
        <w:bidi w:val="0"/>
        <w:adjustRightInd w:val="0"/>
        <w:snapToGrid w:val="0"/>
        <w:spacing w:before="0" w:beforeAutospacing="0" w:after="0" w:afterAutospacing="0" w:line="360" w:lineRule="auto"/>
        <w:ind w:leftChars="200" w:right="0" w:rightChars="0"/>
        <w:jc w:val="both"/>
        <w:textAlignment w:val="auto"/>
        <w:rPr>
          <w:rFonts w:hint="eastAsia" w:ascii="宋体" w:hAnsi="宋体" w:eastAsia="宋体" w:cs="宋体"/>
          <w:szCs w:val="21"/>
          <w:highlight w:val="none"/>
          <w:lang w:val="en-US"/>
        </w:rPr>
      </w:pPr>
      <w:r>
        <w:rPr>
          <w:rFonts w:hint="eastAsia" w:ascii="宋体" w:hAnsi="宋体" w:cs="宋体"/>
          <w:kern w:val="2"/>
          <w:sz w:val="21"/>
          <w:szCs w:val="21"/>
          <w:highlight w:val="none"/>
          <w:lang w:val="en-US" w:eastAsia="zh-CN" w:bidi="ar"/>
        </w:rPr>
        <w:t>3、</w:t>
      </w:r>
      <w:r>
        <w:rPr>
          <w:rFonts w:hint="eastAsia" w:ascii="宋体" w:hAnsi="宋体" w:eastAsia="宋体" w:cs="宋体"/>
          <w:kern w:val="2"/>
          <w:sz w:val="21"/>
          <w:szCs w:val="21"/>
          <w:highlight w:val="none"/>
          <w:lang w:val="en-US" w:eastAsia="zh-CN" w:bidi="ar"/>
        </w:rPr>
        <w:t>单位负责人为同一人或者存在直接控股、管理关系的不同供应商，不得参加同一合同项下的政府采购活动。</w:t>
      </w:r>
    </w:p>
    <w:p w14:paraId="6B93F817">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20" w:firstLineChars="200"/>
        <w:jc w:val="both"/>
        <w:textAlignment w:val="auto"/>
        <w:rPr>
          <w:rFonts w:hint="eastAsia" w:ascii="宋体" w:hAnsi="宋体" w:eastAsia="宋体" w:cs="宋体"/>
          <w:szCs w:val="21"/>
          <w:highlight w:val="none"/>
          <w:lang w:val="en-US"/>
        </w:rPr>
      </w:pPr>
      <w:r>
        <w:rPr>
          <w:rFonts w:hint="eastAsia" w:ascii="宋体" w:hAnsi="宋体" w:cs="宋体"/>
          <w:kern w:val="2"/>
          <w:sz w:val="21"/>
          <w:szCs w:val="21"/>
          <w:highlight w:val="none"/>
          <w:lang w:val="en-US" w:eastAsia="zh-CN" w:bidi="ar"/>
        </w:rPr>
        <w:t>4</w:t>
      </w:r>
      <w:r>
        <w:rPr>
          <w:rFonts w:hint="eastAsia" w:ascii="宋体" w:hAnsi="宋体" w:eastAsia="宋体" w:cs="宋体"/>
          <w:kern w:val="2"/>
          <w:sz w:val="21"/>
          <w:szCs w:val="21"/>
          <w:highlight w:val="none"/>
          <w:lang w:val="en-US" w:eastAsia="zh-CN" w:bidi="ar"/>
        </w:rPr>
        <w:t>、为本采购项目提供整体设计、规范编制或者项目管理、监理、检测等服务的，不得再参加此项目的其他采购活动。</w:t>
      </w:r>
    </w:p>
    <w:p w14:paraId="467E5896">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20" w:firstLineChars="200"/>
        <w:jc w:val="both"/>
        <w:textAlignment w:val="auto"/>
        <w:rPr>
          <w:rFonts w:hint="eastAsia" w:ascii="宋体" w:hAnsi="宋体" w:eastAsia="宋体" w:cs="宋体"/>
          <w:szCs w:val="21"/>
          <w:highlight w:val="none"/>
          <w:lang w:val="en-US"/>
        </w:rPr>
      </w:pPr>
      <w:r>
        <w:rPr>
          <w:rFonts w:hint="eastAsia" w:ascii="宋体" w:hAnsi="宋体" w:cs="宋体"/>
          <w:kern w:val="2"/>
          <w:sz w:val="21"/>
          <w:szCs w:val="21"/>
          <w:highlight w:val="none"/>
          <w:lang w:val="en-US" w:eastAsia="zh-CN" w:bidi="ar"/>
        </w:rPr>
        <w:t>5</w:t>
      </w:r>
      <w:r>
        <w:rPr>
          <w:rFonts w:hint="eastAsia" w:ascii="宋体" w:hAnsi="宋体" w:eastAsia="宋体" w:cs="宋体"/>
          <w:kern w:val="2"/>
          <w:sz w:val="21"/>
          <w:szCs w:val="21"/>
          <w:highlight w:val="none"/>
          <w:lang w:val="en-US" w:eastAsia="zh-CN" w:bidi="ar"/>
        </w:rPr>
        <w:t>、列入失信被执行人、重大税收违法失信主体名单，列入政府采购严重违法失信行为记录名单的，拒绝其参与政府采购活动。</w:t>
      </w:r>
    </w:p>
    <w:p w14:paraId="59620802">
      <w:pPr>
        <w:keepNext w:val="0"/>
        <w:keepLines w:val="0"/>
        <w:pageBreakBefore w:val="0"/>
        <w:widowControl w:val="0"/>
        <w:suppressLineNumbers w:val="0"/>
        <w:kinsoku/>
        <w:wordWrap/>
        <w:overflowPunct/>
        <w:topLinePunct w:val="0"/>
        <w:bidi w:val="0"/>
        <w:adjustRightInd w:val="0"/>
        <w:snapToGrid w:val="0"/>
        <w:spacing w:before="50" w:beforeAutospacing="0" w:after="0" w:afterAutospacing="0" w:line="360" w:lineRule="auto"/>
        <w:ind w:left="0" w:right="0" w:firstLine="420" w:firstLineChars="200"/>
        <w:jc w:val="both"/>
        <w:textAlignment w:val="auto"/>
        <w:rPr>
          <w:highlight w:val="none"/>
          <w:lang w:val="en-US"/>
        </w:rPr>
      </w:pPr>
      <w:r>
        <w:rPr>
          <w:rFonts w:hint="eastAsia" w:ascii="宋体" w:hAnsi="宋体" w:cs="宋体"/>
          <w:kern w:val="2"/>
          <w:sz w:val="21"/>
          <w:szCs w:val="21"/>
          <w:highlight w:val="none"/>
          <w:lang w:val="en-US" w:eastAsia="zh-CN" w:bidi="ar"/>
        </w:rPr>
        <w:t>6</w:t>
      </w:r>
      <w:r>
        <w:rPr>
          <w:rFonts w:hint="eastAsia" w:ascii="宋体" w:hAnsi="宋体" w:eastAsia="宋体" w:cs="宋体"/>
          <w:kern w:val="2"/>
          <w:sz w:val="21"/>
          <w:szCs w:val="21"/>
          <w:highlight w:val="none"/>
          <w:lang w:val="en-US" w:eastAsia="zh-CN" w:bidi="ar"/>
        </w:rPr>
        <w:t>、联合体响应。本次采购</w:t>
      </w:r>
      <w:r>
        <w:rPr>
          <w:rFonts w:hint="eastAsia" w:ascii="宋体" w:hAnsi="宋体" w:cs="宋体"/>
          <w:kern w:val="2"/>
          <w:sz w:val="21"/>
          <w:szCs w:val="21"/>
          <w:highlight w:val="none"/>
          <w:u w:val="single"/>
          <w:lang w:val="en-US" w:eastAsia="zh-CN" w:bidi="ar"/>
        </w:rPr>
        <w:t xml:space="preserve">   不</w:t>
      </w:r>
      <w:r>
        <w:rPr>
          <w:rFonts w:hint="eastAsia" w:ascii="宋体" w:hAnsi="宋体" w:eastAsia="宋体" w:cs="宋体"/>
          <w:kern w:val="2"/>
          <w:sz w:val="21"/>
          <w:szCs w:val="21"/>
          <w:highlight w:val="none"/>
          <w:u w:val="single"/>
          <w:lang w:val="en-US" w:eastAsia="zh-CN" w:bidi="ar"/>
        </w:rPr>
        <w:t>接受</w:t>
      </w:r>
      <w:r>
        <w:rPr>
          <w:rFonts w:hint="eastAsia" w:ascii="宋体" w:hAnsi="宋体" w:cs="宋体"/>
          <w:kern w:val="2"/>
          <w:sz w:val="21"/>
          <w:szCs w:val="21"/>
          <w:highlight w:val="none"/>
          <w:u w:val="single"/>
          <w:lang w:val="en-US" w:eastAsia="zh-CN" w:bidi="ar"/>
        </w:rPr>
        <w:t xml:space="preserve">  </w:t>
      </w:r>
      <w:r>
        <w:rPr>
          <w:rFonts w:hint="eastAsia" w:ascii="宋体" w:hAnsi="宋体" w:eastAsia="宋体" w:cs="宋体"/>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联合体响应。</w:t>
      </w:r>
    </w:p>
    <w:p w14:paraId="7292EE10">
      <w:pPr>
        <w:bidi w:val="0"/>
        <w:rPr>
          <w:rFonts w:hint="eastAsia"/>
          <w:highlight w:val="none"/>
          <w:lang w:val="en-US"/>
        </w:rPr>
      </w:pPr>
      <w:r>
        <w:rPr>
          <w:rFonts w:hint="eastAsia" w:ascii="黑体" w:hAnsi="宋体" w:eastAsia="黑体" w:cs="黑体"/>
          <w:b/>
          <w:bCs/>
          <w:kern w:val="2"/>
          <w:sz w:val="24"/>
          <w:szCs w:val="32"/>
          <w:highlight w:val="none"/>
          <w:lang w:val="en-US" w:eastAsia="zh-CN" w:bidi="ar-SA"/>
        </w:rPr>
        <w:t>四、获取磋商文件的时间、期限、地点及方式</w:t>
      </w:r>
    </w:p>
    <w:p w14:paraId="07AEC152">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1、获取磋商文件的时间：从</w:t>
      </w:r>
      <w:r>
        <w:rPr>
          <w:rFonts w:hint="eastAsia" w:ascii="宋体" w:hAnsi="宋体" w:eastAsia="宋体" w:cs="宋体"/>
          <w:color w:val="auto"/>
          <w:kern w:val="2"/>
          <w:sz w:val="21"/>
          <w:szCs w:val="21"/>
          <w:highlight w:val="none"/>
          <w:u w:val="single"/>
          <w:lang w:val="en-US" w:eastAsia="zh-CN" w:bidi="ar"/>
        </w:rPr>
        <w:t>202</w:t>
      </w:r>
      <w:r>
        <w:rPr>
          <w:rFonts w:hint="eastAsia" w:ascii="宋体" w:hAnsi="宋体" w:cs="宋体"/>
          <w:color w:val="auto"/>
          <w:kern w:val="2"/>
          <w:sz w:val="21"/>
          <w:szCs w:val="21"/>
          <w:highlight w:val="none"/>
          <w:u w:val="single"/>
          <w:lang w:val="en-US" w:eastAsia="zh-CN" w:bidi="ar"/>
        </w:rPr>
        <w:t>6</w:t>
      </w:r>
      <w:r>
        <w:rPr>
          <w:rFonts w:hint="eastAsia" w:ascii="宋体" w:hAnsi="宋体" w:eastAsia="宋体" w:cs="宋体"/>
          <w:color w:val="auto"/>
          <w:kern w:val="2"/>
          <w:sz w:val="21"/>
          <w:szCs w:val="21"/>
          <w:highlight w:val="none"/>
          <w:lang w:val="en-US" w:eastAsia="zh-CN" w:bidi="ar"/>
        </w:rPr>
        <w:t>年</w:t>
      </w:r>
      <w:r>
        <w:rPr>
          <w:rFonts w:hint="eastAsia" w:ascii="宋体" w:hAnsi="宋体" w:eastAsia="宋体" w:cs="宋体"/>
          <w:color w:val="auto"/>
          <w:kern w:val="2"/>
          <w:sz w:val="21"/>
          <w:szCs w:val="21"/>
          <w:highlight w:val="none"/>
          <w:u w:val="single"/>
          <w:lang w:val="en-US" w:eastAsia="zh-CN" w:bidi="ar"/>
        </w:rPr>
        <w:t> </w:t>
      </w:r>
      <w:r>
        <w:rPr>
          <w:rFonts w:hint="eastAsia" w:ascii="宋体" w:hAnsi="宋体" w:cs="宋体"/>
          <w:color w:val="auto"/>
          <w:kern w:val="2"/>
          <w:sz w:val="21"/>
          <w:szCs w:val="21"/>
          <w:highlight w:val="none"/>
          <w:u w:val="single"/>
          <w:lang w:val="en-US" w:eastAsia="zh-CN" w:bidi="ar"/>
        </w:rPr>
        <w:t xml:space="preserve">1  </w:t>
      </w:r>
      <w:r>
        <w:rPr>
          <w:rFonts w:hint="eastAsia" w:ascii="宋体" w:hAnsi="宋体" w:eastAsia="宋体" w:cs="宋体"/>
          <w:color w:val="auto"/>
          <w:kern w:val="2"/>
          <w:sz w:val="21"/>
          <w:szCs w:val="21"/>
          <w:highlight w:val="none"/>
          <w:lang w:val="en-US" w:eastAsia="zh-CN" w:bidi="ar"/>
        </w:rPr>
        <w:t>月</w:t>
      </w:r>
      <w:r>
        <w:rPr>
          <w:rFonts w:hint="eastAsia" w:ascii="宋体" w:hAnsi="宋体" w:cs="宋体"/>
          <w:color w:val="auto"/>
          <w:kern w:val="2"/>
          <w:sz w:val="21"/>
          <w:szCs w:val="21"/>
          <w:highlight w:val="none"/>
          <w:u w:val="single"/>
          <w:lang w:val="en-US" w:eastAsia="zh-CN" w:bidi="ar"/>
        </w:rPr>
        <w:t xml:space="preserve"> 8 </w:t>
      </w:r>
      <w:r>
        <w:rPr>
          <w:rFonts w:hint="eastAsia" w:ascii="宋体" w:hAnsi="宋体" w:eastAsia="宋体" w:cs="宋体"/>
          <w:color w:val="auto"/>
          <w:kern w:val="2"/>
          <w:sz w:val="21"/>
          <w:szCs w:val="21"/>
          <w:highlight w:val="none"/>
          <w:lang w:val="en-US" w:eastAsia="zh-CN" w:bidi="ar"/>
        </w:rPr>
        <w:t>日起至</w:t>
      </w:r>
      <w:r>
        <w:rPr>
          <w:rFonts w:hint="eastAsia" w:ascii="宋体" w:hAnsi="宋体" w:cs="宋体"/>
          <w:color w:val="auto"/>
          <w:kern w:val="2"/>
          <w:sz w:val="21"/>
          <w:szCs w:val="21"/>
          <w:highlight w:val="none"/>
          <w:lang w:val="en-US" w:eastAsia="zh-CN" w:bidi="ar"/>
        </w:rPr>
        <w:t xml:space="preserve"> </w:t>
      </w:r>
      <w:r>
        <w:rPr>
          <w:rFonts w:hint="eastAsia" w:ascii="宋体" w:hAnsi="宋体" w:eastAsia="宋体" w:cs="宋体"/>
          <w:color w:val="auto"/>
          <w:kern w:val="2"/>
          <w:sz w:val="21"/>
          <w:szCs w:val="21"/>
          <w:highlight w:val="none"/>
          <w:u w:val="single"/>
          <w:lang w:val="en-US" w:eastAsia="zh-CN" w:bidi="ar"/>
        </w:rPr>
        <w:t>202</w:t>
      </w:r>
      <w:r>
        <w:rPr>
          <w:rFonts w:hint="eastAsia" w:ascii="宋体" w:hAnsi="宋体" w:cs="宋体"/>
          <w:color w:val="auto"/>
          <w:kern w:val="2"/>
          <w:sz w:val="21"/>
          <w:szCs w:val="21"/>
          <w:highlight w:val="none"/>
          <w:u w:val="single"/>
          <w:lang w:val="en-US" w:eastAsia="zh-CN" w:bidi="ar"/>
        </w:rPr>
        <w:t>6</w:t>
      </w:r>
      <w:r>
        <w:rPr>
          <w:rFonts w:hint="eastAsia" w:ascii="宋体" w:hAnsi="宋体" w:eastAsia="宋体" w:cs="宋体"/>
          <w:color w:val="auto"/>
          <w:kern w:val="2"/>
          <w:sz w:val="21"/>
          <w:szCs w:val="21"/>
          <w:highlight w:val="none"/>
          <w:lang w:val="en-US" w:eastAsia="zh-CN" w:bidi="ar"/>
        </w:rPr>
        <w:t>年</w:t>
      </w:r>
      <w:r>
        <w:rPr>
          <w:rFonts w:hint="eastAsia" w:ascii="宋体" w:hAnsi="宋体" w:eastAsia="宋体" w:cs="宋体"/>
          <w:color w:val="auto"/>
          <w:kern w:val="2"/>
          <w:sz w:val="21"/>
          <w:szCs w:val="21"/>
          <w:highlight w:val="none"/>
          <w:u w:val="single"/>
          <w:lang w:val="en-US" w:eastAsia="zh-CN" w:bidi="ar"/>
        </w:rPr>
        <w:t> </w:t>
      </w:r>
      <w:r>
        <w:rPr>
          <w:rFonts w:hint="eastAsia" w:ascii="宋体" w:hAnsi="宋体" w:cs="宋体"/>
          <w:color w:val="auto"/>
          <w:kern w:val="2"/>
          <w:sz w:val="21"/>
          <w:szCs w:val="21"/>
          <w:highlight w:val="none"/>
          <w:u w:val="single"/>
          <w:lang w:val="en-US" w:eastAsia="zh-CN" w:bidi="ar"/>
        </w:rPr>
        <w:t xml:space="preserve">1  </w:t>
      </w:r>
      <w:r>
        <w:rPr>
          <w:rFonts w:hint="eastAsia" w:ascii="宋体" w:hAnsi="宋体" w:eastAsia="宋体" w:cs="宋体"/>
          <w:color w:val="auto"/>
          <w:kern w:val="2"/>
          <w:sz w:val="21"/>
          <w:szCs w:val="21"/>
          <w:highlight w:val="none"/>
          <w:lang w:val="en-US" w:eastAsia="zh-CN" w:bidi="ar"/>
        </w:rPr>
        <w:t>月</w:t>
      </w:r>
      <w:r>
        <w:rPr>
          <w:rFonts w:hint="eastAsia" w:ascii="宋体" w:hAnsi="宋体" w:cs="宋体"/>
          <w:color w:val="auto"/>
          <w:kern w:val="2"/>
          <w:sz w:val="21"/>
          <w:szCs w:val="21"/>
          <w:highlight w:val="none"/>
          <w:u w:val="single"/>
          <w:lang w:val="en-US" w:eastAsia="zh-CN" w:bidi="ar"/>
        </w:rPr>
        <w:t xml:space="preserve">  15 </w:t>
      </w:r>
      <w:r>
        <w:rPr>
          <w:rFonts w:hint="eastAsia" w:ascii="宋体" w:hAnsi="宋体" w:eastAsia="宋体" w:cs="宋体"/>
          <w:color w:val="auto"/>
          <w:kern w:val="2"/>
          <w:sz w:val="21"/>
          <w:szCs w:val="21"/>
          <w:highlight w:val="none"/>
          <w:lang w:val="en-US" w:eastAsia="zh-CN" w:bidi="ar"/>
        </w:rPr>
        <w:t>日</w:t>
      </w:r>
      <w:r>
        <w:rPr>
          <w:rFonts w:hint="eastAsia" w:ascii="宋体" w:hAnsi="宋体" w:eastAsia="宋体" w:cs="宋体"/>
          <w:kern w:val="2"/>
          <w:sz w:val="21"/>
          <w:szCs w:val="21"/>
          <w:highlight w:val="none"/>
          <w:lang w:val="en-US" w:eastAsia="zh-CN" w:bidi="ar"/>
        </w:rPr>
        <w:t>，每天9:00—12:00,14:30—17:00(北京时间,节假日休息)。</w:t>
      </w:r>
    </w:p>
    <w:p w14:paraId="2FBED974">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2、获取磋商文件的地点：</w:t>
      </w:r>
      <w:r>
        <w:rPr>
          <w:rFonts w:hint="eastAsia" w:ascii="宋体" w:hAnsi="宋体" w:cs="宋体"/>
          <w:kern w:val="2"/>
          <w:sz w:val="21"/>
          <w:szCs w:val="21"/>
          <w:highlight w:val="none"/>
          <w:u w:val="single"/>
          <w:lang w:val="en-US" w:eastAsia="zh-CN" w:bidi="ar"/>
        </w:rPr>
        <w:t>湖南辰洲项目管理有限公司</w:t>
      </w:r>
      <w:r>
        <w:rPr>
          <w:rFonts w:hint="eastAsia" w:ascii="宋体" w:hAnsi="宋体" w:eastAsia="宋体" w:cs="宋体"/>
          <w:kern w:val="2"/>
          <w:sz w:val="21"/>
          <w:szCs w:val="21"/>
          <w:highlight w:val="none"/>
          <w:u w:val="single"/>
          <w:lang w:val="en-US" w:eastAsia="zh-CN" w:bidi="ar"/>
        </w:rPr>
        <w:t>（怀化市鹤城区文化创意产业园区B10栋406室）</w:t>
      </w:r>
      <w:r>
        <w:rPr>
          <w:rFonts w:hint="eastAsia" w:ascii="宋体" w:hAnsi="宋体" w:eastAsia="宋体" w:cs="宋体"/>
          <w:kern w:val="2"/>
          <w:sz w:val="21"/>
          <w:szCs w:val="21"/>
          <w:highlight w:val="none"/>
          <w:lang w:val="en-US" w:eastAsia="zh-CN" w:bidi="ar"/>
        </w:rPr>
        <w:t>。</w:t>
      </w:r>
    </w:p>
    <w:p w14:paraId="2142BB8A">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3、获取方式：现场报名领取磋商文件。</w:t>
      </w:r>
    </w:p>
    <w:p w14:paraId="5C5D94BC">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4、报名领取磋商文件时，请投标经办人携带：</w:t>
      </w:r>
    </w:p>
    <w:p w14:paraId="2043D6B6">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①法定代表人身份证明原件或者授权委托书原件并附法定代表人身份证明原件；</w:t>
      </w:r>
    </w:p>
    <w:p w14:paraId="30BE5F75">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②湖南省政府采购供应商资格承诺函原件；格式见附件一；</w:t>
      </w:r>
    </w:p>
    <w:p w14:paraId="126885E7">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③供应商资格声明（格式）原件；格式见附件二；</w:t>
      </w:r>
    </w:p>
    <w:p w14:paraId="3AB135E7">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④营业执照复印件；</w:t>
      </w:r>
    </w:p>
    <w:p w14:paraId="5BB0C88B">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⑤本磋商公告规定的投标人基本资格条件及特定资格条件证明材料。</w:t>
      </w:r>
    </w:p>
    <w:p w14:paraId="63E22050">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5、其他说明：</w:t>
      </w:r>
    </w:p>
    <w:p w14:paraId="7842C6AA">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（1）提供的资格证明材料、封面均须加盖供应商单位原始公章并由法定代表人或授权委托人签字，写明联系方式和邮箱，并编制目录、页码</w:t>
      </w:r>
      <w:r>
        <w:rPr>
          <w:rFonts w:hint="eastAsia" w:ascii="宋体" w:hAnsi="宋体" w:cs="宋体"/>
          <w:kern w:val="2"/>
          <w:sz w:val="21"/>
          <w:szCs w:val="21"/>
          <w:highlight w:val="none"/>
          <w:lang w:val="en-US" w:eastAsia="zh-CN" w:bidi="ar"/>
        </w:rPr>
        <w:t>装订</w:t>
      </w:r>
      <w:r>
        <w:rPr>
          <w:rFonts w:hint="eastAsia" w:ascii="宋体" w:hAnsi="宋体" w:eastAsia="宋体" w:cs="宋体"/>
          <w:kern w:val="2"/>
          <w:sz w:val="21"/>
          <w:szCs w:val="21"/>
          <w:highlight w:val="none"/>
          <w:lang w:val="en-US" w:eastAsia="zh-CN" w:bidi="ar"/>
        </w:rPr>
        <w:t>成册，一式两份。</w:t>
      </w:r>
    </w:p>
    <w:p w14:paraId="20D1BAA5">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（2）所有证明材料内容均要求清晰易辨完整，否则视为无效证明材料。</w:t>
      </w:r>
    </w:p>
    <w:p w14:paraId="368D09CE">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3）为贯彻落实（湘财购〔2022〕17号）文，积极推行“承诺+信用管理”的供应商资格审查办法，要求供应商提供的相关财务状况、缴纳税收和社保等证明材料可改为书面承诺，符合政府采购的资格条件即可参加政府采购活动。</w:t>
      </w:r>
    </w:p>
    <w:p w14:paraId="3630573D">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（4）供应商应对提交的所有资格证明材料真实性负责，不接受存在虚假或伪造或违法违规等情况的资格证明材料及文件，一经发现，取消竞标资格并报相关职能部门追究相应责任。</w:t>
      </w:r>
    </w:p>
    <w:p w14:paraId="52AEDB30">
      <w:pPr>
        <w:numPr>
          <w:ilvl w:val="0"/>
          <w:numId w:val="0"/>
        </w:numPr>
        <w:bidi w:val="0"/>
        <w:ind w:left="0" w:leftChars="0" w:firstLine="240" w:firstLineChars="100"/>
        <w:rPr>
          <w:rFonts w:hint="eastAsia" w:ascii="宋体" w:hAnsi="宋体"/>
          <w:b w:val="0"/>
          <w:bCs w:val="0"/>
          <w:color w:val="auto"/>
          <w:szCs w:val="21"/>
          <w:highlight w:val="none"/>
          <w:lang w:val="en-US" w:eastAsia="zh-CN"/>
        </w:rPr>
      </w:pPr>
      <w:r>
        <w:rPr>
          <w:rFonts w:hint="eastAsia" w:ascii="黑体" w:hAnsi="宋体" w:eastAsia="黑体" w:cs="黑体"/>
          <w:b/>
          <w:bCs/>
          <w:kern w:val="2"/>
          <w:sz w:val="24"/>
          <w:szCs w:val="32"/>
          <w:highlight w:val="none"/>
          <w:lang w:val="en-US" w:eastAsia="zh-CN" w:bidi="ar-SA"/>
        </w:rPr>
        <w:t>五、磋商响应文件递交截止时间、开启时间及地点</w:t>
      </w:r>
    </w:p>
    <w:p w14:paraId="2BE6D19C">
      <w:pPr>
        <w:pageBreakBefore w:val="0"/>
        <w:kinsoku/>
        <w:wordWrap/>
        <w:overflowPunct/>
        <w:topLinePunct w:val="0"/>
        <w:bidi w:val="0"/>
        <w:adjustRightInd w:val="0"/>
        <w:snapToGrid w:val="0"/>
        <w:spacing w:afterAutospacing="0" w:line="360" w:lineRule="auto"/>
        <w:ind w:firstLine="420" w:firstLineChars="200"/>
        <w:textAlignment w:val="auto"/>
        <w:rPr>
          <w:rFonts w:hint="eastAsia" w:ascii="宋体" w:hAnsi="宋体" w:eastAsia="宋体"/>
          <w:b w:val="0"/>
          <w:bCs w:val="0"/>
          <w:color w:val="auto"/>
          <w:szCs w:val="21"/>
          <w:highlight w:val="none"/>
          <w:lang w:eastAsia="zh-CN"/>
        </w:rPr>
      </w:pPr>
      <w:r>
        <w:rPr>
          <w:rFonts w:hint="eastAsia" w:ascii="宋体" w:hAnsi="宋体"/>
          <w:b w:val="0"/>
          <w:bCs w:val="0"/>
          <w:color w:val="auto"/>
          <w:szCs w:val="21"/>
          <w:highlight w:val="none"/>
          <w:lang w:val="en-US" w:eastAsia="zh-CN"/>
        </w:rPr>
        <w:t>1、</w:t>
      </w:r>
      <w:r>
        <w:rPr>
          <w:rFonts w:hint="eastAsia" w:ascii="宋体" w:hAnsi="宋体"/>
          <w:b w:val="0"/>
          <w:bCs w:val="0"/>
          <w:color w:val="auto"/>
          <w:szCs w:val="21"/>
          <w:highlight w:val="none"/>
        </w:rPr>
        <w:t>提交首次响应文件的截止时间：</w:t>
      </w:r>
      <w:r>
        <w:rPr>
          <w:rFonts w:hint="eastAsia" w:ascii="宋体" w:hAnsi="宋体"/>
          <w:b w:val="0"/>
          <w:bCs w:val="0"/>
          <w:color w:val="auto"/>
          <w:szCs w:val="21"/>
          <w:highlight w:val="none"/>
          <w:u w:val="single"/>
          <w:lang w:val="en-US" w:eastAsia="zh-CN"/>
        </w:rPr>
        <w:t xml:space="preserve"> </w:t>
      </w:r>
      <w:r>
        <w:rPr>
          <w:rFonts w:hint="eastAsia" w:ascii="宋体" w:hAnsi="宋体" w:eastAsia="宋体" w:cs="宋体"/>
          <w:i w:val="0"/>
          <w:iCs w:val="0"/>
          <w:caps w:val="0"/>
          <w:color w:val="auto"/>
          <w:spacing w:val="0"/>
          <w:kern w:val="0"/>
          <w:sz w:val="21"/>
          <w:szCs w:val="21"/>
          <w:highlight w:val="none"/>
          <w:u w:val="single"/>
          <w:lang w:val="en-US" w:eastAsia="zh-CN" w:bidi="ar"/>
        </w:rPr>
        <w:t>202</w:t>
      </w:r>
      <w:r>
        <w:rPr>
          <w:rFonts w:hint="eastAsia" w:ascii="宋体" w:hAnsi="宋体" w:cs="宋体"/>
          <w:i w:val="0"/>
          <w:iCs w:val="0"/>
          <w:caps w:val="0"/>
          <w:color w:val="auto"/>
          <w:spacing w:val="0"/>
          <w:kern w:val="0"/>
          <w:sz w:val="21"/>
          <w:szCs w:val="21"/>
          <w:highlight w:val="none"/>
          <w:u w:val="single"/>
          <w:lang w:val="en-US" w:eastAsia="zh-CN" w:bidi="ar"/>
        </w:rPr>
        <w:t xml:space="preserve">6 </w:t>
      </w:r>
      <w:r>
        <w:rPr>
          <w:rFonts w:hint="eastAsia" w:ascii="宋体" w:hAnsi="宋体" w:eastAsia="宋体" w:cs="宋体"/>
          <w:i w:val="0"/>
          <w:iCs w:val="0"/>
          <w:caps w:val="0"/>
          <w:color w:val="auto"/>
          <w:spacing w:val="0"/>
          <w:kern w:val="0"/>
          <w:sz w:val="21"/>
          <w:szCs w:val="21"/>
          <w:highlight w:val="none"/>
          <w:lang w:val="en-US" w:eastAsia="zh-CN" w:bidi="ar"/>
        </w:rPr>
        <w:t>年</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cs="宋体"/>
          <w:i w:val="0"/>
          <w:iCs w:val="0"/>
          <w:caps w:val="0"/>
          <w:color w:val="auto"/>
          <w:spacing w:val="0"/>
          <w:kern w:val="0"/>
          <w:sz w:val="21"/>
          <w:szCs w:val="21"/>
          <w:highlight w:val="none"/>
          <w:u w:val="single"/>
          <w:lang w:val="en-US" w:eastAsia="zh-CN" w:bidi="ar"/>
        </w:rPr>
        <w:t>1</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eastAsia="宋体" w:cs="宋体"/>
          <w:i w:val="0"/>
          <w:iCs w:val="0"/>
          <w:caps w:val="0"/>
          <w:color w:val="auto"/>
          <w:spacing w:val="0"/>
          <w:kern w:val="0"/>
          <w:sz w:val="21"/>
          <w:szCs w:val="21"/>
          <w:highlight w:val="none"/>
          <w:lang w:val="en-US" w:eastAsia="zh-CN" w:bidi="ar"/>
        </w:rPr>
        <w:t>月</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cs="宋体"/>
          <w:i w:val="0"/>
          <w:iCs w:val="0"/>
          <w:caps w:val="0"/>
          <w:color w:val="auto"/>
          <w:spacing w:val="0"/>
          <w:kern w:val="0"/>
          <w:sz w:val="21"/>
          <w:szCs w:val="21"/>
          <w:highlight w:val="none"/>
          <w:u w:val="single"/>
          <w:lang w:val="en-US" w:eastAsia="zh-CN" w:bidi="ar"/>
        </w:rPr>
        <w:t>22</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eastAsia="宋体" w:cs="宋体"/>
          <w:i w:val="0"/>
          <w:iCs w:val="0"/>
          <w:caps w:val="0"/>
          <w:color w:val="auto"/>
          <w:spacing w:val="0"/>
          <w:kern w:val="0"/>
          <w:sz w:val="21"/>
          <w:szCs w:val="21"/>
          <w:highlight w:val="none"/>
          <w:lang w:val="en-US" w:eastAsia="zh-CN" w:bidi="ar"/>
        </w:rPr>
        <w:t>日</w:t>
      </w:r>
      <w:r>
        <w:rPr>
          <w:rFonts w:hint="eastAsia" w:ascii="宋体" w:hAnsi="宋体"/>
          <w:b w:val="0"/>
          <w:bCs w:val="0"/>
          <w:color w:val="auto"/>
          <w:szCs w:val="21"/>
          <w:highlight w:val="none"/>
          <w:lang w:val="en-US" w:eastAsia="zh-CN"/>
        </w:rPr>
        <w:t xml:space="preserve"> </w:t>
      </w:r>
      <w:r>
        <w:rPr>
          <w:rFonts w:hint="eastAsia" w:ascii="宋体" w:hAnsi="宋体"/>
          <w:b w:val="0"/>
          <w:bCs w:val="0"/>
          <w:color w:val="auto"/>
          <w:szCs w:val="21"/>
          <w:highlight w:val="none"/>
          <w:u w:val="single"/>
          <w:lang w:val="en-US" w:eastAsia="zh-CN"/>
        </w:rPr>
        <w:t xml:space="preserve">  10  </w:t>
      </w:r>
      <w:r>
        <w:rPr>
          <w:rFonts w:hint="eastAsia" w:ascii="宋体" w:hAnsi="宋体"/>
          <w:b w:val="0"/>
          <w:bCs w:val="0"/>
          <w:color w:val="auto"/>
          <w:szCs w:val="21"/>
          <w:highlight w:val="none"/>
        </w:rPr>
        <w:t>时</w:t>
      </w:r>
      <w:r>
        <w:rPr>
          <w:rFonts w:hint="eastAsia" w:ascii="宋体" w:hAnsi="宋体"/>
          <w:b w:val="0"/>
          <w:bCs w:val="0"/>
          <w:color w:val="auto"/>
          <w:szCs w:val="21"/>
          <w:highlight w:val="none"/>
          <w:u w:val="single"/>
          <w:lang w:val="en-US" w:eastAsia="zh-CN"/>
        </w:rPr>
        <w:t xml:space="preserve"> 00 </w:t>
      </w:r>
      <w:r>
        <w:rPr>
          <w:rFonts w:hint="eastAsia" w:ascii="宋体" w:hAnsi="宋体"/>
          <w:b w:val="0"/>
          <w:bCs w:val="0"/>
          <w:color w:val="auto"/>
          <w:szCs w:val="21"/>
          <w:highlight w:val="none"/>
        </w:rPr>
        <w:t>分（北京时间）</w:t>
      </w:r>
      <w:r>
        <w:rPr>
          <w:rFonts w:hint="eastAsia" w:ascii="宋体" w:hAnsi="宋体"/>
          <w:b w:val="0"/>
          <w:bCs w:val="0"/>
          <w:color w:val="auto"/>
          <w:szCs w:val="21"/>
          <w:highlight w:val="none"/>
          <w:lang w:eastAsia="zh-CN"/>
        </w:rPr>
        <w:t>；</w:t>
      </w:r>
    </w:p>
    <w:p w14:paraId="05164423">
      <w:pPr>
        <w:pageBreakBefore w:val="0"/>
        <w:kinsoku/>
        <w:wordWrap/>
        <w:overflowPunct/>
        <w:topLinePunct w:val="0"/>
        <w:bidi w:val="0"/>
        <w:adjustRightInd w:val="0"/>
        <w:snapToGrid w:val="0"/>
        <w:spacing w:afterAutospacing="0" w:line="360" w:lineRule="auto"/>
        <w:ind w:firstLine="420" w:firstLineChars="200"/>
        <w:textAlignment w:val="auto"/>
        <w:rPr>
          <w:rFonts w:ascii="宋体" w:hAnsi="宋体"/>
          <w:b w:val="0"/>
          <w:bCs w:val="0"/>
          <w:color w:val="auto"/>
          <w:szCs w:val="21"/>
          <w:highlight w:val="none"/>
          <w:u w:val="none"/>
        </w:rPr>
      </w:pPr>
      <w:r>
        <w:rPr>
          <w:rFonts w:hint="eastAsia" w:ascii="宋体" w:hAnsi="宋体"/>
          <w:b w:val="0"/>
          <w:bCs w:val="0"/>
          <w:color w:val="auto"/>
          <w:szCs w:val="21"/>
          <w:highlight w:val="none"/>
          <w:lang w:val="en-US" w:eastAsia="zh-CN"/>
        </w:rPr>
        <w:t>2、</w:t>
      </w:r>
      <w:r>
        <w:rPr>
          <w:rFonts w:hint="eastAsia" w:ascii="宋体" w:hAnsi="宋体"/>
          <w:b w:val="0"/>
          <w:bCs w:val="0"/>
          <w:color w:val="auto"/>
          <w:szCs w:val="21"/>
          <w:highlight w:val="none"/>
        </w:rPr>
        <w:t>提交首次</w:t>
      </w:r>
      <w:r>
        <w:rPr>
          <w:rFonts w:hint="eastAsia" w:ascii="宋体" w:hAnsi="宋体"/>
          <w:b w:val="0"/>
          <w:bCs w:val="0"/>
          <w:color w:val="auto"/>
          <w:szCs w:val="21"/>
          <w:highlight w:val="none"/>
          <w:u w:val="none"/>
        </w:rPr>
        <w:t>响应文件地点：</w:t>
      </w:r>
      <w:r>
        <w:rPr>
          <w:rFonts w:hint="eastAsia" w:ascii="宋体" w:hAnsi="宋体"/>
          <w:b w:val="0"/>
          <w:bCs w:val="0"/>
          <w:color w:val="auto"/>
          <w:szCs w:val="21"/>
          <w:highlight w:val="none"/>
          <w:u w:val="single"/>
          <w:lang w:eastAsia="zh-CN"/>
        </w:rPr>
        <w:t>怀化市鹤城区文化创意产业园区B10栋406室</w:t>
      </w:r>
      <w:r>
        <w:rPr>
          <w:rFonts w:hint="eastAsia" w:ascii="宋体" w:hAnsi="宋体"/>
          <w:b w:val="0"/>
          <w:bCs w:val="0"/>
          <w:color w:val="auto"/>
          <w:szCs w:val="21"/>
          <w:highlight w:val="none"/>
          <w:u w:val="none"/>
          <w:lang w:eastAsia="zh-CN"/>
        </w:rPr>
        <w:t>；</w:t>
      </w:r>
    </w:p>
    <w:p w14:paraId="65339628">
      <w:pPr>
        <w:pageBreakBefore w:val="0"/>
        <w:kinsoku/>
        <w:wordWrap/>
        <w:overflowPunct/>
        <w:topLinePunct w:val="0"/>
        <w:bidi w:val="0"/>
        <w:adjustRightInd w:val="0"/>
        <w:snapToGrid w:val="0"/>
        <w:spacing w:afterAutospacing="0" w:line="360" w:lineRule="auto"/>
        <w:ind w:firstLine="420" w:firstLineChars="200"/>
        <w:textAlignment w:val="auto"/>
        <w:rPr>
          <w:rFonts w:hint="eastAsia" w:ascii="宋体" w:hAnsi="宋体" w:eastAsia="宋体"/>
          <w:b w:val="0"/>
          <w:bCs w:val="0"/>
          <w:color w:val="auto"/>
          <w:szCs w:val="21"/>
          <w:highlight w:val="none"/>
          <w:lang w:eastAsia="zh-CN"/>
        </w:rPr>
      </w:pPr>
      <w:r>
        <w:rPr>
          <w:rFonts w:hint="eastAsia" w:ascii="宋体" w:hAnsi="宋体"/>
          <w:b w:val="0"/>
          <w:bCs w:val="0"/>
          <w:color w:val="auto"/>
          <w:szCs w:val="21"/>
          <w:highlight w:val="none"/>
          <w:u w:val="none"/>
          <w:lang w:val="en-US" w:eastAsia="zh-CN"/>
        </w:rPr>
        <w:t>3、</w:t>
      </w:r>
      <w:r>
        <w:rPr>
          <w:rFonts w:hint="eastAsia" w:ascii="宋体" w:hAnsi="宋体"/>
          <w:b w:val="0"/>
          <w:bCs w:val="0"/>
          <w:color w:val="auto"/>
          <w:szCs w:val="21"/>
          <w:highlight w:val="none"/>
          <w:u w:val="none"/>
        </w:rPr>
        <w:t>首次响应文件开启时间：</w:t>
      </w:r>
      <w:r>
        <w:rPr>
          <w:rFonts w:hint="eastAsia" w:ascii="宋体" w:hAnsi="宋体"/>
          <w:b w:val="0"/>
          <w:bCs w:val="0"/>
          <w:color w:val="auto"/>
          <w:szCs w:val="21"/>
          <w:highlight w:val="none"/>
          <w:u w:val="single"/>
          <w:lang w:val="en-US" w:eastAsia="zh-CN"/>
        </w:rPr>
        <w:t xml:space="preserve"> </w:t>
      </w:r>
      <w:r>
        <w:rPr>
          <w:rFonts w:hint="eastAsia" w:ascii="宋体" w:hAnsi="宋体" w:eastAsia="宋体" w:cs="宋体"/>
          <w:i w:val="0"/>
          <w:iCs w:val="0"/>
          <w:caps w:val="0"/>
          <w:color w:val="auto"/>
          <w:spacing w:val="0"/>
          <w:kern w:val="0"/>
          <w:sz w:val="21"/>
          <w:szCs w:val="21"/>
          <w:highlight w:val="none"/>
          <w:u w:val="single"/>
          <w:lang w:val="en-US" w:eastAsia="zh-CN" w:bidi="ar"/>
        </w:rPr>
        <w:t>202</w:t>
      </w:r>
      <w:r>
        <w:rPr>
          <w:rFonts w:hint="eastAsia" w:ascii="宋体" w:hAnsi="宋体" w:cs="宋体"/>
          <w:i w:val="0"/>
          <w:iCs w:val="0"/>
          <w:caps w:val="0"/>
          <w:color w:val="auto"/>
          <w:spacing w:val="0"/>
          <w:kern w:val="0"/>
          <w:sz w:val="21"/>
          <w:szCs w:val="21"/>
          <w:highlight w:val="none"/>
          <w:u w:val="single"/>
          <w:lang w:val="en-US" w:eastAsia="zh-CN" w:bidi="ar"/>
        </w:rPr>
        <w:t xml:space="preserve">6 </w:t>
      </w:r>
      <w:r>
        <w:rPr>
          <w:rFonts w:hint="eastAsia" w:ascii="宋体" w:hAnsi="宋体" w:eastAsia="宋体" w:cs="宋体"/>
          <w:i w:val="0"/>
          <w:iCs w:val="0"/>
          <w:caps w:val="0"/>
          <w:color w:val="auto"/>
          <w:spacing w:val="0"/>
          <w:kern w:val="0"/>
          <w:sz w:val="21"/>
          <w:szCs w:val="21"/>
          <w:highlight w:val="none"/>
          <w:lang w:val="en-US" w:eastAsia="zh-CN" w:bidi="ar"/>
        </w:rPr>
        <w:t>年</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cs="宋体"/>
          <w:i w:val="0"/>
          <w:iCs w:val="0"/>
          <w:caps w:val="0"/>
          <w:color w:val="auto"/>
          <w:spacing w:val="0"/>
          <w:kern w:val="0"/>
          <w:sz w:val="21"/>
          <w:szCs w:val="21"/>
          <w:highlight w:val="none"/>
          <w:u w:val="single"/>
          <w:lang w:val="en-US" w:eastAsia="zh-CN" w:bidi="ar"/>
        </w:rPr>
        <w:t>1</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eastAsia="宋体" w:cs="宋体"/>
          <w:i w:val="0"/>
          <w:iCs w:val="0"/>
          <w:caps w:val="0"/>
          <w:color w:val="auto"/>
          <w:spacing w:val="0"/>
          <w:kern w:val="0"/>
          <w:sz w:val="21"/>
          <w:szCs w:val="21"/>
          <w:highlight w:val="none"/>
          <w:lang w:val="en-US" w:eastAsia="zh-CN" w:bidi="ar"/>
        </w:rPr>
        <w:t>月</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cs="宋体"/>
          <w:i w:val="0"/>
          <w:iCs w:val="0"/>
          <w:caps w:val="0"/>
          <w:color w:val="auto"/>
          <w:spacing w:val="0"/>
          <w:kern w:val="0"/>
          <w:sz w:val="21"/>
          <w:szCs w:val="21"/>
          <w:highlight w:val="none"/>
          <w:u w:val="single"/>
          <w:lang w:val="en-US" w:eastAsia="zh-CN" w:bidi="ar"/>
        </w:rPr>
        <w:t>22</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eastAsia="宋体" w:cs="宋体"/>
          <w:i w:val="0"/>
          <w:iCs w:val="0"/>
          <w:caps w:val="0"/>
          <w:color w:val="auto"/>
          <w:spacing w:val="0"/>
          <w:kern w:val="0"/>
          <w:sz w:val="21"/>
          <w:szCs w:val="21"/>
          <w:highlight w:val="none"/>
          <w:lang w:val="en-US" w:eastAsia="zh-CN" w:bidi="ar"/>
        </w:rPr>
        <w:t>日</w:t>
      </w:r>
      <w:r>
        <w:rPr>
          <w:rFonts w:hint="eastAsia" w:ascii="宋体" w:hAnsi="宋体"/>
          <w:b w:val="0"/>
          <w:bCs w:val="0"/>
          <w:color w:val="auto"/>
          <w:szCs w:val="21"/>
          <w:highlight w:val="none"/>
          <w:lang w:val="en-US" w:eastAsia="zh-CN"/>
        </w:rPr>
        <w:t xml:space="preserve"> </w:t>
      </w:r>
      <w:r>
        <w:rPr>
          <w:rFonts w:hint="eastAsia" w:ascii="宋体" w:hAnsi="宋体"/>
          <w:b w:val="0"/>
          <w:bCs w:val="0"/>
          <w:color w:val="auto"/>
          <w:szCs w:val="21"/>
          <w:highlight w:val="none"/>
          <w:u w:val="single"/>
          <w:lang w:val="en-US" w:eastAsia="zh-CN"/>
        </w:rPr>
        <w:t xml:space="preserve">  10  </w:t>
      </w:r>
      <w:r>
        <w:rPr>
          <w:rFonts w:hint="eastAsia" w:ascii="宋体" w:hAnsi="宋体"/>
          <w:b w:val="0"/>
          <w:bCs w:val="0"/>
          <w:color w:val="auto"/>
          <w:szCs w:val="21"/>
          <w:highlight w:val="none"/>
        </w:rPr>
        <w:t>时</w:t>
      </w:r>
      <w:r>
        <w:rPr>
          <w:rFonts w:hint="eastAsia" w:ascii="宋体" w:hAnsi="宋体"/>
          <w:b w:val="0"/>
          <w:bCs w:val="0"/>
          <w:color w:val="auto"/>
          <w:szCs w:val="21"/>
          <w:highlight w:val="none"/>
          <w:u w:val="single"/>
          <w:lang w:val="en-US" w:eastAsia="zh-CN"/>
        </w:rPr>
        <w:t xml:space="preserve">  00 </w:t>
      </w:r>
      <w:r>
        <w:rPr>
          <w:rFonts w:hint="eastAsia" w:ascii="宋体" w:hAnsi="宋体"/>
          <w:b w:val="0"/>
          <w:bCs w:val="0"/>
          <w:color w:val="auto"/>
          <w:szCs w:val="21"/>
          <w:highlight w:val="none"/>
          <w:lang w:val="en-US" w:eastAsia="zh-CN"/>
        </w:rPr>
        <w:t xml:space="preserve"> </w:t>
      </w:r>
      <w:r>
        <w:rPr>
          <w:rFonts w:hint="eastAsia" w:ascii="宋体" w:hAnsi="宋体"/>
          <w:b w:val="0"/>
          <w:bCs w:val="0"/>
          <w:color w:val="auto"/>
          <w:szCs w:val="21"/>
          <w:highlight w:val="none"/>
        </w:rPr>
        <w:t>分（北京时间）</w:t>
      </w:r>
      <w:r>
        <w:rPr>
          <w:rFonts w:hint="eastAsia" w:ascii="宋体" w:hAnsi="宋体"/>
          <w:b w:val="0"/>
          <w:bCs w:val="0"/>
          <w:color w:val="auto"/>
          <w:szCs w:val="21"/>
          <w:highlight w:val="none"/>
          <w:lang w:eastAsia="zh-CN"/>
        </w:rPr>
        <w:t>；</w:t>
      </w:r>
    </w:p>
    <w:p w14:paraId="047086F8">
      <w:pPr>
        <w:pageBreakBefore w:val="0"/>
        <w:kinsoku/>
        <w:wordWrap/>
        <w:overflowPunct/>
        <w:topLinePunct w:val="0"/>
        <w:bidi w:val="0"/>
        <w:adjustRightInd w:val="0"/>
        <w:snapToGrid w:val="0"/>
        <w:spacing w:afterAutospacing="0" w:line="360" w:lineRule="auto"/>
        <w:ind w:firstLine="420" w:firstLineChars="200"/>
        <w:textAlignment w:val="auto"/>
        <w:rPr>
          <w:rFonts w:hint="eastAsia" w:ascii="宋体" w:hAnsi="宋体"/>
          <w:b w:val="0"/>
          <w:bCs w:val="0"/>
          <w:color w:val="auto"/>
          <w:szCs w:val="21"/>
          <w:highlight w:val="none"/>
          <w:u w:val="single"/>
          <w:lang w:eastAsia="zh-CN"/>
        </w:rPr>
      </w:pPr>
      <w:r>
        <w:rPr>
          <w:rFonts w:hint="eastAsia" w:ascii="宋体" w:hAnsi="宋体"/>
          <w:b w:val="0"/>
          <w:bCs w:val="0"/>
          <w:color w:val="auto"/>
          <w:szCs w:val="21"/>
          <w:highlight w:val="none"/>
          <w:u w:val="none"/>
          <w:lang w:val="en-US" w:eastAsia="zh-CN"/>
        </w:rPr>
        <w:t>4、</w:t>
      </w:r>
      <w:r>
        <w:rPr>
          <w:rFonts w:hint="eastAsia" w:ascii="宋体" w:hAnsi="宋体"/>
          <w:b w:val="0"/>
          <w:bCs w:val="0"/>
          <w:color w:val="auto"/>
          <w:szCs w:val="21"/>
          <w:highlight w:val="none"/>
          <w:u w:val="none"/>
        </w:rPr>
        <w:t>首次响应文件开启地点：</w:t>
      </w:r>
      <w:r>
        <w:rPr>
          <w:rFonts w:hint="eastAsia" w:ascii="宋体" w:hAnsi="宋体" w:cs="宋体"/>
          <w:kern w:val="2"/>
          <w:sz w:val="21"/>
          <w:szCs w:val="21"/>
          <w:highlight w:val="none"/>
          <w:u w:val="single"/>
          <w:lang w:val="en-US" w:eastAsia="zh-CN" w:bidi="ar"/>
        </w:rPr>
        <w:t>湖南辰洲项目管理有限公司</w:t>
      </w:r>
      <w:r>
        <w:rPr>
          <w:rFonts w:hint="eastAsia" w:ascii="宋体" w:hAnsi="宋体" w:eastAsia="宋体" w:cs="宋体"/>
          <w:kern w:val="2"/>
          <w:sz w:val="21"/>
          <w:szCs w:val="21"/>
          <w:highlight w:val="none"/>
          <w:u w:val="single"/>
          <w:lang w:val="en-US" w:eastAsia="zh-CN" w:bidi="ar"/>
        </w:rPr>
        <w:t>（怀化市鹤城区文化创意产业园区B10栋406室）</w:t>
      </w:r>
      <w:r>
        <w:rPr>
          <w:rFonts w:hint="eastAsia" w:ascii="宋体" w:hAnsi="宋体" w:cs="宋体"/>
          <w:kern w:val="2"/>
          <w:sz w:val="21"/>
          <w:szCs w:val="21"/>
          <w:highlight w:val="none"/>
          <w:u w:val="none"/>
          <w:lang w:val="en-US" w:eastAsia="zh-CN" w:bidi="ar"/>
        </w:rPr>
        <w:t>；</w:t>
      </w:r>
    </w:p>
    <w:p w14:paraId="58D36B1E">
      <w:pPr>
        <w:pageBreakBefore w:val="0"/>
        <w:kinsoku/>
        <w:wordWrap/>
        <w:overflowPunct/>
        <w:topLinePunct w:val="0"/>
        <w:bidi w:val="0"/>
        <w:adjustRightInd w:val="0"/>
        <w:snapToGrid w:val="0"/>
        <w:spacing w:afterAutospacing="0" w:line="360" w:lineRule="auto"/>
        <w:ind w:firstLine="420" w:firstLineChars="200"/>
        <w:textAlignment w:val="auto"/>
        <w:rPr>
          <w:rFonts w:hint="eastAsia" w:ascii="宋体" w:hAnsi="宋体"/>
          <w:b w:val="0"/>
          <w:bCs w:val="0"/>
          <w:color w:val="auto"/>
          <w:szCs w:val="21"/>
          <w:highlight w:val="none"/>
          <w:u w:val="none"/>
          <w:lang w:val="en-US" w:eastAsia="zh-CN"/>
        </w:rPr>
      </w:pPr>
      <w:r>
        <w:rPr>
          <w:rFonts w:hint="eastAsia" w:ascii="宋体" w:hAnsi="宋体"/>
          <w:b w:val="0"/>
          <w:bCs w:val="0"/>
          <w:color w:val="auto"/>
          <w:szCs w:val="21"/>
          <w:highlight w:val="none"/>
          <w:u w:val="none"/>
          <w:lang w:val="en-US" w:eastAsia="zh-CN"/>
        </w:rPr>
        <w:t>5、逾期送达的或者未送达指定地点或未按要求密封的竞争性磋商文件，采购人不予受理。</w:t>
      </w:r>
    </w:p>
    <w:p w14:paraId="02AAAAB3">
      <w:pPr>
        <w:pageBreakBefore w:val="0"/>
        <w:kinsoku/>
        <w:wordWrap/>
        <w:overflowPunct/>
        <w:topLinePunct w:val="0"/>
        <w:bidi w:val="0"/>
        <w:adjustRightInd w:val="0"/>
        <w:snapToGrid w:val="0"/>
        <w:spacing w:afterAutospacing="0" w:line="360" w:lineRule="auto"/>
        <w:ind w:firstLine="420" w:firstLineChars="200"/>
        <w:textAlignment w:val="auto"/>
        <w:rPr>
          <w:rFonts w:hint="eastAsia" w:ascii="宋体" w:hAnsi="宋体"/>
          <w:b w:val="0"/>
          <w:bCs w:val="0"/>
          <w:color w:val="auto"/>
          <w:szCs w:val="21"/>
          <w:highlight w:val="none"/>
          <w:u w:val="none"/>
          <w:lang w:val="en-US" w:eastAsia="zh-CN"/>
        </w:rPr>
      </w:pPr>
      <w:r>
        <w:rPr>
          <w:rFonts w:hint="eastAsia" w:ascii="宋体" w:hAnsi="宋体"/>
          <w:b w:val="0"/>
          <w:bCs w:val="0"/>
          <w:color w:val="auto"/>
          <w:szCs w:val="21"/>
          <w:highlight w:val="none"/>
          <w:u w:val="none"/>
          <w:lang w:val="en-US" w:eastAsia="zh-CN"/>
        </w:rPr>
        <w:t>6、法定代表人或授权代表须准时到会，出示授权书及身份证原件并签名以示出席；否则，其投标将被拒绝。</w:t>
      </w:r>
    </w:p>
    <w:p w14:paraId="682CC82C">
      <w:pPr>
        <w:keepNext w:val="0"/>
        <w:keepLines w:val="0"/>
        <w:pageBreakBefore w:val="0"/>
        <w:widowControl w:val="0"/>
        <w:suppressLineNumbers w:val="0"/>
        <w:kinsoku/>
        <w:wordWrap/>
        <w:overflowPunct/>
        <w:topLinePunct w:val="0"/>
        <w:bidi w:val="0"/>
        <w:adjustRightInd w:val="0"/>
        <w:snapToGrid w:val="0"/>
        <w:spacing w:before="120" w:beforeLines="50" w:beforeAutospacing="0" w:after="0" w:afterAutospacing="0" w:line="360" w:lineRule="auto"/>
        <w:ind w:left="0" w:right="0"/>
        <w:jc w:val="both"/>
        <w:textAlignment w:val="auto"/>
        <w:rPr>
          <w:rFonts w:hint="eastAsia" w:ascii="黑体" w:hAnsi="宋体" w:eastAsia="黑体" w:cs="黑体"/>
          <w:b/>
          <w:bCs/>
          <w:sz w:val="24"/>
          <w:szCs w:val="32"/>
          <w:highlight w:val="none"/>
          <w:lang w:val="en-US"/>
        </w:rPr>
      </w:pPr>
      <w:r>
        <w:rPr>
          <w:rFonts w:hint="eastAsia" w:ascii="黑体" w:hAnsi="宋体" w:eastAsia="黑体" w:cs="黑体"/>
          <w:b/>
          <w:bCs/>
          <w:kern w:val="2"/>
          <w:sz w:val="24"/>
          <w:szCs w:val="32"/>
          <w:highlight w:val="none"/>
          <w:lang w:val="en-US" w:eastAsia="zh-CN" w:bidi="ar"/>
        </w:rPr>
        <w:t>六、公告期限</w:t>
      </w:r>
    </w:p>
    <w:p w14:paraId="3698FD9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153" w:right="0" w:firstLine="420"/>
        <w:jc w:val="left"/>
        <w:textAlignment w:val="auto"/>
        <w:rPr>
          <w:highlight w:val="none"/>
          <w:lang w:val="en-US"/>
        </w:rPr>
      </w:pPr>
      <w:r>
        <w:rPr>
          <w:rFonts w:hint="default" w:ascii="Times New Roman" w:hAnsi="Times New Roman" w:eastAsia="宋体" w:cs="Times New Roman"/>
          <w:color w:val="000000"/>
          <w:kern w:val="0"/>
          <w:sz w:val="21"/>
          <w:szCs w:val="21"/>
          <w:highlight w:val="none"/>
          <w:lang w:val="en-US" w:eastAsia="zh-CN" w:bidi="ar"/>
        </w:rPr>
        <w:t>1</w:t>
      </w:r>
      <w:r>
        <w:rPr>
          <w:rFonts w:hint="eastAsia" w:ascii="宋体" w:hAnsi="宋体" w:eastAsia="宋体" w:cs="宋体"/>
          <w:color w:val="000000"/>
          <w:kern w:val="0"/>
          <w:sz w:val="21"/>
          <w:szCs w:val="21"/>
          <w:highlight w:val="none"/>
          <w:lang w:val="en-US" w:eastAsia="zh-CN" w:bidi="ar"/>
        </w:rPr>
        <w:t>、本邀请公告在鹤城区人民政府门户网站（http://www.hechengqu.gov.cn/）</w:t>
      </w:r>
      <w:r>
        <w:rPr>
          <w:rFonts w:hint="eastAsia" w:ascii="宋体" w:hAnsi="宋体" w:cs="宋体"/>
          <w:color w:val="000000"/>
          <w:kern w:val="0"/>
          <w:sz w:val="21"/>
          <w:szCs w:val="21"/>
          <w:highlight w:val="none"/>
          <w:lang w:val="en-US" w:eastAsia="zh-CN" w:bidi="ar"/>
        </w:rPr>
        <w:t>发布</w:t>
      </w:r>
      <w:r>
        <w:rPr>
          <w:rFonts w:hint="eastAsia" w:ascii="宋体" w:hAnsi="宋体" w:eastAsia="宋体" w:cs="宋体"/>
          <w:color w:val="000000"/>
          <w:kern w:val="0"/>
          <w:sz w:val="21"/>
          <w:szCs w:val="21"/>
          <w:highlight w:val="none"/>
          <w:lang w:val="en-US" w:eastAsia="zh-CN" w:bidi="ar"/>
        </w:rPr>
        <w:t>。公告期限从本邀请公告发布之日起</w:t>
      </w:r>
      <w:r>
        <w:rPr>
          <w:rFonts w:hint="default" w:ascii="Times New Roman" w:hAnsi="Times New Roman" w:eastAsia="宋体" w:cs="Times New Roman"/>
          <w:color w:val="000000"/>
          <w:kern w:val="0"/>
          <w:sz w:val="21"/>
          <w:szCs w:val="21"/>
          <w:highlight w:val="none"/>
          <w:lang w:val="en-US" w:eastAsia="zh-CN" w:bidi="ar"/>
        </w:rPr>
        <w:t>5</w:t>
      </w:r>
      <w:r>
        <w:rPr>
          <w:rFonts w:hint="eastAsia" w:ascii="宋体" w:hAnsi="宋体" w:eastAsia="宋体" w:cs="宋体"/>
          <w:color w:val="000000"/>
          <w:kern w:val="0"/>
          <w:sz w:val="21"/>
          <w:szCs w:val="21"/>
          <w:highlight w:val="none"/>
          <w:lang w:val="en-US" w:eastAsia="zh-CN" w:bidi="ar"/>
        </w:rPr>
        <w:t>个工作日。</w:t>
      </w:r>
    </w:p>
    <w:p w14:paraId="2D6910A0">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153" w:right="0" w:firstLine="420" w:firstLineChars="200"/>
        <w:jc w:val="left"/>
        <w:textAlignment w:val="auto"/>
        <w:rPr>
          <w:highlight w:val="none"/>
          <w:lang w:val="en-US"/>
        </w:rPr>
      </w:pPr>
      <w:r>
        <w:rPr>
          <w:rFonts w:hint="default" w:ascii="Times New Roman" w:hAnsi="Times New Roman" w:eastAsia="宋体" w:cs="Times New Roman"/>
          <w:color w:val="000000"/>
          <w:kern w:val="0"/>
          <w:sz w:val="21"/>
          <w:szCs w:val="21"/>
          <w:highlight w:val="none"/>
          <w:lang w:val="en-US" w:eastAsia="zh-CN" w:bidi="ar"/>
        </w:rPr>
        <w:t>2</w:t>
      </w:r>
      <w:r>
        <w:rPr>
          <w:rFonts w:hint="eastAsia" w:ascii="宋体" w:hAnsi="宋体" w:eastAsia="宋体" w:cs="宋体"/>
          <w:color w:val="000000"/>
          <w:kern w:val="0"/>
          <w:sz w:val="21"/>
          <w:szCs w:val="21"/>
          <w:highlight w:val="none"/>
          <w:lang w:val="en-US" w:eastAsia="zh-CN" w:bidi="ar"/>
        </w:rPr>
        <w:t>、在其他媒体发布的邀请公告，公告内容以本邀请公告指定媒体发布的公告为准；公告期限自本邀请公告指定媒体最先发布公告之日起算。</w:t>
      </w:r>
    </w:p>
    <w:p w14:paraId="0EDDB6DC">
      <w:pPr>
        <w:keepNext w:val="0"/>
        <w:keepLines w:val="0"/>
        <w:pageBreakBefore w:val="0"/>
        <w:widowControl w:val="0"/>
        <w:suppressLineNumbers w:val="0"/>
        <w:kinsoku/>
        <w:wordWrap/>
        <w:overflowPunct/>
        <w:topLinePunct w:val="0"/>
        <w:bidi w:val="0"/>
        <w:adjustRightInd w:val="0"/>
        <w:snapToGrid w:val="0"/>
        <w:spacing w:before="120" w:beforeLines="50" w:beforeAutospacing="0" w:after="0" w:afterAutospacing="0" w:line="360" w:lineRule="auto"/>
        <w:ind w:left="0" w:right="0"/>
        <w:jc w:val="both"/>
        <w:textAlignment w:val="auto"/>
        <w:rPr>
          <w:rFonts w:hint="eastAsia" w:ascii="黑体" w:hAnsi="宋体" w:eastAsia="黑体" w:cs="黑体"/>
          <w:b/>
          <w:bCs/>
          <w:sz w:val="24"/>
          <w:szCs w:val="32"/>
          <w:highlight w:val="none"/>
          <w:lang w:val="en-US"/>
        </w:rPr>
      </w:pPr>
      <w:r>
        <w:rPr>
          <w:rFonts w:hint="eastAsia" w:ascii="黑体" w:hAnsi="宋体" w:eastAsia="黑体" w:cs="黑体"/>
          <w:b/>
          <w:bCs/>
          <w:kern w:val="2"/>
          <w:sz w:val="24"/>
          <w:szCs w:val="32"/>
          <w:highlight w:val="none"/>
          <w:lang w:val="en-US" w:eastAsia="zh-CN" w:bidi="ar"/>
        </w:rPr>
        <w:t>七、询问及质疑</w:t>
      </w:r>
    </w:p>
    <w:p w14:paraId="51834C88">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szCs w:val="21"/>
          <w:highlight w:val="none"/>
          <w:lang w:val="en-US"/>
        </w:rPr>
      </w:pPr>
      <w:bookmarkStart w:id="13" w:name="_Toc110606597"/>
      <w:bookmarkStart w:id="14" w:name="_Toc8803"/>
      <w:bookmarkStart w:id="15" w:name="_Toc2878"/>
      <w:r>
        <w:rPr>
          <w:rFonts w:hint="eastAsia" w:ascii="宋体" w:hAnsi="宋体" w:eastAsia="宋体" w:cs="宋体"/>
          <w:kern w:val="2"/>
          <w:sz w:val="21"/>
          <w:szCs w:val="21"/>
          <w:highlight w:val="none"/>
          <w:lang w:val="en-US" w:eastAsia="zh-CN" w:bidi="ar"/>
        </w:rPr>
        <w:t>1、供应商对政府采购活动事项如有疑问的，可以向采购人、采购代理机构提出询问。采购人、采购代理机构将在3个工作日内作出答复。</w:t>
      </w:r>
    </w:p>
    <w:p w14:paraId="3390171A">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20" w:firstLineChars="200"/>
        <w:jc w:val="both"/>
        <w:textAlignment w:val="auto"/>
        <w:rPr>
          <w:rFonts w:hint="eastAsia" w:ascii="宋体" w:hAnsi="宋体" w:eastAsia="宋体" w:cs="宋体"/>
          <w:szCs w:val="21"/>
          <w:highlight w:val="none"/>
          <w:lang w:val="en-US"/>
        </w:rPr>
      </w:pPr>
      <w:r>
        <w:rPr>
          <w:rFonts w:hint="eastAsia" w:ascii="宋体" w:hAnsi="宋体" w:eastAsia="宋体" w:cs="宋体"/>
          <w:kern w:val="2"/>
          <w:sz w:val="21"/>
          <w:szCs w:val="21"/>
          <w:highlight w:val="none"/>
          <w:lang w:val="en-US" w:eastAsia="zh-CN" w:bidi="ar"/>
        </w:rPr>
        <w:t>2、供应商认为本磋商文件使自己的合法权益受到损害的，可以在收到本邀请公告之日起7个工作日内，按《湖南省财政厅关于印发＜政府采购质疑答复和投诉处理操作规程＞的通知》(湘财购〔2019〕20号)规定，以纸质书面形式向采购人、采购代理机构提出质疑。</w:t>
      </w:r>
    </w:p>
    <w:p w14:paraId="77CE36D5">
      <w:pPr>
        <w:keepNext w:val="0"/>
        <w:keepLines w:val="0"/>
        <w:pageBreakBefore w:val="0"/>
        <w:widowControl w:val="0"/>
        <w:suppressLineNumbers w:val="0"/>
        <w:kinsoku/>
        <w:wordWrap/>
        <w:overflowPunct/>
        <w:topLinePunct w:val="0"/>
        <w:bidi w:val="0"/>
        <w:adjustRightInd w:val="0"/>
        <w:snapToGrid w:val="0"/>
        <w:spacing w:before="120" w:beforeLines="50" w:beforeAutospacing="0" w:after="0" w:afterAutospacing="0" w:line="360" w:lineRule="auto"/>
        <w:ind w:left="0" w:right="0"/>
        <w:jc w:val="both"/>
        <w:textAlignment w:val="auto"/>
        <w:rPr>
          <w:rFonts w:hint="eastAsia" w:ascii="黑体" w:hAnsi="宋体" w:eastAsia="黑体" w:cs="黑体"/>
          <w:b/>
          <w:bCs/>
          <w:kern w:val="2"/>
          <w:sz w:val="24"/>
          <w:szCs w:val="32"/>
          <w:highlight w:val="none"/>
          <w:lang w:val="en-US" w:eastAsia="zh-CN" w:bidi="ar"/>
        </w:rPr>
      </w:pPr>
      <w:bookmarkStart w:id="16" w:name="_Toc31378"/>
      <w:r>
        <w:rPr>
          <w:rFonts w:hint="eastAsia" w:ascii="黑体" w:hAnsi="宋体" w:eastAsia="黑体" w:cs="黑体"/>
          <w:b/>
          <w:bCs/>
          <w:kern w:val="2"/>
          <w:sz w:val="24"/>
          <w:szCs w:val="32"/>
          <w:highlight w:val="none"/>
          <w:lang w:val="en-US" w:eastAsia="zh-CN" w:bidi="ar"/>
        </w:rPr>
        <w:t>八、</w:t>
      </w:r>
      <w:bookmarkEnd w:id="13"/>
      <w:bookmarkEnd w:id="14"/>
      <w:r>
        <w:rPr>
          <w:rFonts w:hint="eastAsia" w:ascii="黑体" w:hAnsi="宋体" w:eastAsia="黑体" w:cs="黑体"/>
          <w:b/>
          <w:bCs/>
          <w:kern w:val="2"/>
          <w:sz w:val="24"/>
          <w:szCs w:val="32"/>
          <w:highlight w:val="none"/>
          <w:lang w:val="en-US" w:eastAsia="zh-CN" w:bidi="ar"/>
        </w:rPr>
        <w:t>磋商说明</w:t>
      </w:r>
      <w:bookmarkEnd w:id="15"/>
      <w:bookmarkEnd w:id="16"/>
    </w:p>
    <w:p w14:paraId="37E945DB">
      <w:pPr>
        <w:keepNext w:val="0"/>
        <w:keepLines w:val="0"/>
        <w:pageBreakBefore w:val="0"/>
        <w:widowControl w:val="0"/>
        <w:suppressLineNumbers w:val="0"/>
        <w:tabs>
          <w:tab w:val="left" w:pos="4700"/>
          <w:tab w:val="left" w:pos="6000"/>
          <w:tab w:val="left" w:pos="7160"/>
          <w:tab w:val="left" w:pos="8520"/>
        </w:tabs>
        <w:kinsoku/>
        <w:wordWrap/>
        <w:overflowPunct/>
        <w:topLinePunct w:val="0"/>
        <w:autoSpaceDE w:val="0"/>
        <w:autoSpaceDN w:val="0"/>
        <w:bidi w:val="0"/>
        <w:adjustRightInd w:val="0"/>
        <w:snapToGrid w:val="0"/>
        <w:spacing w:before="0" w:beforeAutospacing="0" w:after="0" w:afterAutospacing="0" w:line="360" w:lineRule="auto"/>
        <w:ind w:left="0" w:right="-23" w:firstLine="420" w:firstLineChars="200"/>
        <w:jc w:val="left"/>
        <w:textAlignment w:val="auto"/>
        <w:rPr>
          <w:rFonts w:hint="eastAsia" w:ascii="宋体" w:hAnsi="宋体" w:eastAsia="宋体" w:cs="宋体"/>
          <w:szCs w:val="21"/>
          <w:highlight w:val="none"/>
          <w:lang w:val="en-US"/>
        </w:rPr>
      </w:pPr>
      <w:bookmarkStart w:id="17" w:name="_Toc31935"/>
      <w:bookmarkStart w:id="18" w:name="_Toc110606598"/>
      <w:r>
        <w:rPr>
          <w:rFonts w:hint="eastAsia" w:ascii="宋体" w:hAnsi="宋体" w:eastAsia="宋体" w:cs="宋体"/>
          <w:kern w:val="2"/>
          <w:sz w:val="21"/>
          <w:szCs w:val="21"/>
          <w:highlight w:val="none"/>
          <w:lang w:val="en-US" w:eastAsia="zh-CN" w:bidi="ar"/>
        </w:rPr>
        <w:t>1、本公告选项：</w:t>
      </w:r>
      <w:r>
        <w:rPr>
          <w:rFonts w:hint="default" w:ascii="宋体" w:hAnsi="宋体" w:eastAsia="宋体" w:cs="Wingdings"/>
          <w:kern w:val="2"/>
          <w:sz w:val="21"/>
          <w:szCs w:val="21"/>
          <w:highlight w:val="none"/>
          <w:lang w:val="en-US" w:eastAsia="zh-CN" w:bidi="ar"/>
        </w:rPr>
        <w:sym w:font="Wingdings" w:char="00FE"/>
      </w:r>
      <w:r>
        <w:rPr>
          <w:rFonts w:hint="eastAsia" w:ascii="宋体" w:hAnsi="宋体" w:eastAsia="宋体" w:cs="宋体"/>
          <w:kern w:val="2"/>
          <w:sz w:val="21"/>
          <w:szCs w:val="21"/>
          <w:highlight w:val="none"/>
          <w:lang w:val="en-US" w:eastAsia="zh-CN" w:bidi="ar"/>
        </w:rPr>
        <w:t>表示选择，</w:t>
      </w:r>
      <w:r>
        <w:rPr>
          <w:rFonts w:hint="default" w:ascii="宋体" w:hAnsi="宋体" w:eastAsia="宋体" w:cs="Wingdings"/>
          <w:kern w:val="2"/>
          <w:sz w:val="21"/>
          <w:szCs w:val="21"/>
          <w:highlight w:val="none"/>
          <w:lang w:val="en-US" w:eastAsia="zh-CN" w:bidi="ar"/>
        </w:rPr>
        <w:sym w:font="Wingdings" w:char="00A8"/>
      </w:r>
      <w:r>
        <w:rPr>
          <w:rFonts w:hint="eastAsia" w:ascii="宋体" w:hAnsi="宋体" w:eastAsia="宋体" w:cs="宋体"/>
          <w:kern w:val="2"/>
          <w:sz w:val="21"/>
          <w:szCs w:val="21"/>
          <w:highlight w:val="none"/>
          <w:lang w:val="en-US" w:eastAsia="zh-CN" w:bidi="ar"/>
        </w:rPr>
        <w:t>表示未选择。</w:t>
      </w:r>
    </w:p>
    <w:p w14:paraId="4E107645">
      <w:pPr>
        <w:keepNext w:val="0"/>
        <w:keepLines w:val="0"/>
        <w:pageBreakBefore w:val="0"/>
        <w:widowControl w:val="0"/>
        <w:suppressLineNumbers w:val="0"/>
        <w:kinsoku/>
        <w:wordWrap/>
        <w:overflowPunct/>
        <w:topLinePunct w:val="0"/>
        <w:bidi w:val="0"/>
        <w:adjustRightInd w:val="0"/>
        <w:snapToGrid w:val="0"/>
        <w:spacing w:before="120" w:beforeLines="50" w:beforeAutospacing="0" w:after="0" w:afterAutospacing="0" w:line="360" w:lineRule="auto"/>
        <w:ind w:left="0" w:right="0"/>
        <w:jc w:val="both"/>
        <w:textAlignment w:val="auto"/>
        <w:rPr>
          <w:rFonts w:hint="eastAsia" w:ascii="黑体" w:hAnsi="宋体" w:eastAsia="黑体" w:cs="黑体"/>
          <w:b/>
          <w:bCs/>
          <w:kern w:val="2"/>
          <w:sz w:val="24"/>
          <w:szCs w:val="32"/>
          <w:highlight w:val="none"/>
          <w:lang w:val="en-US" w:eastAsia="zh-CN" w:bidi="ar"/>
        </w:rPr>
      </w:pPr>
      <w:bookmarkStart w:id="19" w:name="_Toc15184"/>
      <w:bookmarkStart w:id="20" w:name="_Toc3549"/>
      <w:r>
        <w:rPr>
          <w:rFonts w:hint="eastAsia" w:ascii="黑体" w:hAnsi="宋体" w:eastAsia="黑体" w:cs="黑体"/>
          <w:b/>
          <w:bCs/>
          <w:kern w:val="2"/>
          <w:sz w:val="24"/>
          <w:szCs w:val="32"/>
          <w:highlight w:val="none"/>
          <w:lang w:val="en-US" w:eastAsia="zh-CN" w:bidi="ar"/>
        </w:rPr>
        <w:t>九、采购项目联系人姓名和电话</w:t>
      </w:r>
      <w:bookmarkEnd w:id="17"/>
      <w:bookmarkEnd w:id="18"/>
      <w:bookmarkEnd w:id="19"/>
      <w:bookmarkEnd w:id="20"/>
    </w:p>
    <w:p w14:paraId="1D3828F6">
      <w:pPr>
        <w:keepNext w:val="0"/>
        <w:keepLines w:val="0"/>
        <w:pageBreakBefore w:val="0"/>
        <w:widowControl/>
        <w:suppressLineNumbers w:val="0"/>
        <w:kinsoku/>
        <w:wordWrap/>
        <w:overflowPunct/>
        <w:topLinePunct w:val="0"/>
        <w:bidi w:val="0"/>
        <w:spacing w:before="0" w:beforeAutospacing="0" w:after="0" w:afterAutospacing="0" w:line="360" w:lineRule="auto"/>
        <w:ind w:left="76" w:right="0" w:firstLine="420"/>
        <w:jc w:val="both"/>
        <w:textAlignment w:val="auto"/>
        <w:rPr>
          <w:rFonts w:hint="eastAsia" w:ascii="宋体" w:hAnsi="宋体" w:eastAsia="宋体" w:cs="宋体"/>
          <w:i w:val="0"/>
          <w:iCs w:val="0"/>
          <w:caps w:val="0"/>
          <w:color w:val="000000"/>
          <w:spacing w:val="0"/>
          <w:kern w:val="0"/>
          <w:sz w:val="21"/>
          <w:szCs w:val="21"/>
          <w:highlight w:val="none"/>
          <w:u w:val="single"/>
          <w:lang w:val="en-US" w:eastAsia="zh-CN" w:bidi="ar"/>
        </w:rPr>
      </w:pPr>
      <w:bookmarkStart w:id="21" w:name="_Toc28164"/>
      <w:bookmarkStart w:id="22" w:name="_Toc110606599"/>
      <w:bookmarkStart w:id="23" w:name="_Toc24078"/>
      <w:r>
        <w:rPr>
          <w:rFonts w:hint="eastAsia" w:ascii="宋体" w:hAnsi="宋体" w:eastAsia="宋体" w:cs="宋体"/>
          <w:i w:val="0"/>
          <w:iCs w:val="0"/>
          <w:caps w:val="0"/>
          <w:color w:val="000000"/>
          <w:spacing w:val="0"/>
          <w:kern w:val="0"/>
          <w:sz w:val="21"/>
          <w:szCs w:val="21"/>
          <w:highlight w:val="none"/>
          <w:lang w:val="en-US" w:eastAsia="zh-CN" w:bidi="ar"/>
        </w:rPr>
        <w:t>1、联系人：</w:t>
      </w:r>
      <w:r>
        <w:rPr>
          <w:rFonts w:hint="eastAsia" w:ascii="宋体" w:hAnsi="宋体" w:cs="宋体"/>
          <w:i w:val="0"/>
          <w:iCs w:val="0"/>
          <w:caps w:val="0"/>
          <w:color w:val="000000"/>
          <w:spacing w:val="0"/>
          <w:kern w:val="0"/>
          <w:sz w:val="21"/>
          <w:szCs w:val="21"/>
          <w:highlight w:val="none"/>
          <w:u w:val="single"/>
          <w:lang w:val="en-US" w:eastAsia="zh-CN" w:bidi="ar"/>
        </w:rPr>
        <w:t>卢女士</w:t>
      </w:r>
    </w:p>
    <w:p w14:paraId="026FCBD6">
      <w:pPr>
        <w:keepNext w:val="0"/>
        <w:keepLines w:val="0"/>
        <w:pageBreakBefore w:val="0"/>
        <w:widowControl/>
        <w:suppressLineNumbers w:val="0"/>
        <w:kinsoku/>
        <w:wordWrap/>
        <w:overflowPunct/>
        <w:topLinePunct w:val="0"/>
        <w:bidi w:val="0"/>
        <w:spacing w:before="0" w:beforeAutospacing="0" w:after="0" w:afterAutospacing="0" w:line="360" w:lineRule="auto"/>
        <w:ind w:left="76" w:right="0" w:firstLine="420"/>
        <w:jc w:val="both"/>
        <w:textAlignment w:val="auto"/>
        <w:rPr>
          <w:highlight w:val="none"/>
        </w:rPr>
      </w:pPr>
      <w:r>
        <w:rPr>
          <w:rFonts w:hint="eastAsia" w:ascii="宋体" w:hAnsi="宋体" w:eastAsia="宋体" w:cs="宋体"/>
          <w:i w:val="0"/>
          <w:iCs w:val="0"/>
          <w:caps w:val="0"/>
          <w:color w:val="000000"/>
          <w:spacing w:val="0"/>
          <w:kern w:val="0"/>
          <w:sz w:val="21"/>
          <w:szCs w:val="21"/>
          <w:highlight w:val="none"/>
          <w:lang w:val="en-US" w:eastAsia="zh-CN" w:bidi="ar"/>
        </w:rPr>
        <w:t>2、电 话：</w:t>
      </w:r>
      <w:r>
        <w:rPr>
          <w:rFonts w:hint="eastAsia" w:ascii="宋体" w:hAnsi="宋体" w:cs="宋体"/>
          <w:i w:val="0"/>
          <w:iCs w:val="0"/>
          <w:caps w:val="0"/>
          <w:color w:val="000000"/>
          <w:spacing w:val="0"/>
          <w:kern w:val="0"/>
          <w:sz w:val="21"/>
          <w:szCs w:val="21"/>
          <w:highlight w:val="none"/>
          <w:u w:val="single"/>
          <w:lang w:val="en-US" w:eastAsia="zh-CN" w:bidi="ar"/>
        </w:rPr>
        <w:t>0745-2557950</w:t>
      </w:r>
      <w:r>
        <w:rPr>
          <w:rFonts w:hint="eastAsia" w:ascii="宋体" w:hAnsi="宋体" w:eastAsia="宋体" w:cs="宋体"/>
          <w:i w:val="0"/>
          <w:iCs w:val="0"/>
          <w:caps w:val="0"/>
          <w:color w:val="000000"/>
          <w:spacing w:val="0"/>
          <w:kern w:val="0"/>
          <w:sz w:val="21"/>
          <w:szCs w:val="21"/>
          <w:highlight w:val="none"/>
          <w:lang w:val="en-US" w:eastAsia="zh-CN" w:bidi="ar"/>
        </w:rPr>
        <w:t xml:space="preserve">  </w:t>
      </w:r>
    </w:p>
    <w:p w14:paraId="289E8808">
      <w:pPr>
        <w:bidi w:val="0"/>
        <w:rPr>
          <w:highlight w:val="none"/>
        </w:rPr>
      </w:pPr>
      <w:r>
        <w:rPr>
          <w:rFonts w:hint="eastAsia"/>
          <w:highlight w:val="none"/>
        </w:rPr>
        <w:t xml:space="preserve">   </w:t>
      </w:r>
    </w:p>
    <w:p w14:paraId="73AA668D">
      <w:pPr>
        <w:keepNext w:val="0"/>
        <w:keepLines w:val="0"/>
        <w:pageBreakBefore w:val="0"/>
        <w:widowControl w:val="0"/>
        <w:suppressLineNumbers w:val="0"/>
        <w:kinsoku/>
        <w:wordWrap/>
        <w:overflowPunct/>
        <w:topLinePunct w:val="0"/>
        <w:bidi w:val="0"/>
        <w:adjustRightInd w:val="0"/>
        <w:snapToGrid w:val="0"/>
        <w:spacing w:before="120" w:beforeLines="50" w:beforeAutospacing="0" w:after="0" w:afterAutospacing="0" w:line="360" w:lineRule="auto"/>
        <w:ind w:left="0" w:right="0"/>
        <w:jc w:val="both"/>
        <w:textAlignment w:val="auto"/>
        <w:rPr>
          <w:rFonts w:hint="eastAsia" w:ascii="黑体" w:hAnsi="宋体" w:eastAsia="黑体" w:cs="黑体"/>
          <w:b/>
          <w:bCs/>
          <w:kern w:val="2"/>
          <w:sz w:val="24"/>
          <w:szCs w:val="32"/>
          <w:highlight w:val="none"/>
          <w:lang w:val="en-US" w:eastAsia="zh-CN" w:bidi="ar"/>
        </w:rPr>
      </w:pPr>
      <w:bookmarkStart w:id="24" w:name="_Toc3316"/>
      <w:bookmarkStart w:id="25" w:name="_Toc4807"/>
      <w:r>
        <w:rPr>
          <w:rFonts w:hint="eastAsia" w:ascii="黑体" w:hAnsi="宋体" w:eastAsia="黑体" w:cs="黑体"/>
          <w:b/>
          <w:bCs/>
          <w:kern w:val="2"/>
          <w:sz w:val="24"/>
          <w:szCs w:val="32"/>
          <w:highlight w:val="none"/>
          <w:lang w:val="en-US" w:eastAsia="zh-CN" w:bidi="ar"/>
        </w:rPr>
        <w:t>十、采购人、采购代理机构的名称、地址和联系方法</w:t>
      </w:r>
      <w:bookmarkEnd w:id="24"/>
      <w:bookmarkEnd w:id="25"/>
    </w:p>
    <w:p w14:paraId="69C2D351">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11" w:firstLineChars="196"/>
        <w:jc w:val="both"/>
        <w:textAlignment w:val="auto"/>
        <w:rPr>
          <w:rFonts w:hint="eastAsia" w:ascii="宋体" w:hAnsi="宋体" w:eastAsia="宋体" w:cs="宋体"/>
          <w:b/>
          <w:bCs/>
          <w:szCs w:val="21"/>
          <w:highlight w:val="none"/>
          <w:lang w:val="en-US"/>
        </w:rPr>
      </w:pPr>
      <w:r>
        <w:rPr>
          <w:rFonts w:hint="eastAsia" w:ascii="宋体" w:hAnsi="宋体" w:eastAsia="宋体" w:cs="宋体"/>
          <w:b/>
          <w:bCs/>
          <w:kern w:val="2"/>
          <w:sz w:val="21"/>
          <w:szCs w:val="21"/>
          <w:highlight w:val="none"/>
          <w:lang w:val="en-US" w:eastAsia="zh-CN" w:bidi="ar"/>
        </w:rPr>
        <w:t>1</w:t>
      </w:r>
      <w:r>
        <w:rPr>
          <w:rFonts w:hint="eastAsia" w:ascii="宋体" w:hAnsi="宋体" w:eastAsia="宋体" w:cs="宋体"/>
          <w:kern w:val="2"/>
          <w:sz w:val="21"/>
          <w:szCs w:val="21"/>
          <w:highlight w:val="none"/>
          <w:lang w:val="en-US" w:eastAsia="zh-CN" w:bidi="ar"/>
        </w:rPr>
        <w:t>、</w:t>
      </w:r>
      <w:r>
        <w:rPr>
          <w:rFonts w:hint="eastAsia" w:ascii="宋体" w:hAnsi="宋体" w:eastAsia="宋体" w:cs="宋体"/>
          <w:b/>
          <w:bCs/>
          <w:kern w:val="2"/>
          <w:sz w:val="21"/>
          <w:szCs w:val="21"/>
          <w:highlight w:val="none"/>
          <w:lang w:val="en-US" w:eastAsia="zh-CN" w:bidi="ar"/>
        </w:rPr>
        <w:t>采购人信息</w:t>
      </w:r>
    </w:p>
    <w:p w14:paraId="3FC22506">
      <w:pPr>
        <w:pageBreakBefore w:val="0"/>
        <w:widowControl/>
        <w:kinsoku/>
        <w:wordWrap/>
        <w:overflowPunct/>
        <w:topLinePunct w:val="0"/>
        <w:bidi w:val="0"/>
        <w:spacing w:afterAutospacing="0" w:line="360" w:lineRule="auto"/>
        <w:ind w:firstLine="420" w:firstLineChars="200"/>
        <w:jc w:val="left"/>
        <w:textAlignment w:val="auto"/>
        <w:rPr>
          <w:rFonts w:hint="eastAsia" w:ascii="宋体" w:hAnsi="宋体" w:eastAsia="宋体" w:cs="宋体"/>
          <w:color w:val="auto"/>
          <w:kern w:val="1"/>
          <w:sz w:val="21"/>
          <w:szCs w:val="21"/>
          <w:highlight w:val="none"/>
          <w:lang w:eastAsia="zh-CN"/>
        </w:rPr>
      </w:pPr>
      <w:r>
        <w:rPr>
          <w:rFonts w:hint="eastAsia" w:ascii="宋体" w:hAnsi="宋体" w:eastAsia="宋体" w:cs="宋体"/>
          <w:i w:val="0"/>
          <w:iCs w:val="0"/>
          <w:caps w:val="0"/>
          <w:color w:val="000000"/>
          <w:spacing w:val="0"/>
          <w:kern w:val="0"/>
          <w:sz w:val="21"/>
          <w:szCs w:val="21"/>
          <w:highlight w:val="none"/>
          <w:lang w:val="en-US" w:eastAsia="zh-CN" w:bidi="ar"/>
        </w:rPr>
        <w:t>（1）名  称：</w:t>
      </w:r>
      <w:r>
        <w:rPr>
          <w:rFonts w:hint="eastAsia" w:ascii="宋体" w:hAnsi="宋体" w:cs="宋体"/>
          <w:color w:val="auto"/>
          <w:kern w:val="1"/>
          <w:sz w:val="21"/>
          <w:szCs w:val="21"/>
          <w:highlight w:val="none"/>
          <w:u w:val="single"/>
          <w:lang w:eastAsia="zh-CN"/>
        </w:rPr>
        <w:t>怀化市鹤城区城市建设投资有限公司</w:t>
      </w:r>
    </w:p>
    <w:p w14:paraId="22FBAA8A">
      <w:pPr>
        <w:pageBreakBefore w:val="0"/>
        <w:widowControl/>
        <w:kinsoku/>
        <w:wordWrap/>
        <w:overflowPunct/>
        <w:topLinePunct w:val="0"/>
        <w:bidi w:val="0"/>
        <w:spacing w:afterAutospacing="0" w:line="360" w:lineRule="auto"/>
        <w:ind w:firstLine="420" w:firstLineChars="200"/>
        <w:jc w:val="left"/>
        <w:textAlignment w:val="auto"/>
        <w:rPr>
          <w:rFonts w:hint="default" w:ascii="宋体" w:hAnsi="宋体" w:eastAsia="宋体" w:cs="宋体"/>
          <w:color w:val="auto"/>
          <w:kern w:val="1"/>
          <w:sz w:val="21"/>
          <w:szCs w:val="21"/>
          <w:highlight w:val="none"/>
          <w:u w:val="single"/>
          <w:lang w:val="en-US" w:eastAsia="zh-CN"/>
        </w:rPr>
      </w:pPr>
      <w:r>
        <w:rPr>
          <w:rFonts w:hint="eastAsia" w:ascii="宋体" w:hAnsi="宋体" w:eastAsia="宋体" w:cs="宋体"/>
          <w:i w:val="0"/>
          <w:iCs w:val="0"/>
          <w:caps w:val="0"/>
          <w:color w:val="000000"/>
          <w:spacing w:val="0"/>
          <w:kern w:val="0"/>
          <w:sz w:val="21"/>
          <w:szCs w:val="21"/>
          <w:highlight w:val="none"/>
          <w:lang w:val="en-US" w:eastAsia="zh-CN" w:bidi="ar"/>
        </w:rPr>
        <w:t>（2）地  址：</w:t>
      </w:r>
      <w:r>
        <w:rPr>
          <w:rFonts w:hint="eastAsia" w:ascii="宋体" w:hAnsi="宋体" w:cs="宋体"/>
          <w:i w:val="0"/>
          <w:iCs w:val="0"/>
          <w:caps w:val="0"/>
          <w:color w:val="000000"/>
          <w:spacing w:val="0"/>
          <w:kern w:val="0"/>
          <w:sz w:val="21"/>
          <w:szCs w:val="21"/>
          <w:highlight w:val="none"/>
          <w:u w:val="single"/>
          <w:lang w:val="en-US" w:eastAsia="zh-CN" w:bidi="ar"/>
        </w:rPr>
        <w:t>怀化市鹤城区石门乡阳塘村（鹤城工业集中区阳塘产业园）</w:t>
      </w:r>
    </w:p>
    <w:p w14:paraId="20EE7715">
      <w:pPr>
        <w:keepNext w:val="0"/>
        <w:keepLines w:val="0"/>
        <w:pageBreakBefore w:val="0"/>
        <w:widowControl/>
        <w:numPr>
          <w:ilvl w:val="0"/>
          <w:numId w:val="1"/>
        </w:numPr>
        <w:suppressLineNumbers w:val="0"/>
        <w:kinsoku/>
        <w:wordWrap/>
        <w:overflowPunct/>
        <w:topLinePunct w:val="0"/>
        <w:bidi w:val="0"/>
        <w:spacing w:before="0" w:beforeAutospacing="0" w:after="0" w:afterAutospacing="0" w:line="360" w:lineRule="auto"/>
        <w:ind w:left="76" w:right="0" w:firstLine="420"/>
        <w:jc w:val="both"/>
        <w:textAlignment w:val="auto"/>
        <w:rPr>
          <w:rFonts w:hint="eastAsia" w:ascii="宋体" w:hAnsi="宋体" w:eastAsia="宋体" w:cs="宋体"/>
          <w:color w:val="auto"/>
          <w:kern w:val="1"/>
          <w:sz w:val="21"/>
          <w:szCs w:val="21"/>
          <w:highlight w:val="none"/>
          <w:u w:val="single"/>
          <w:lang w:val="en-US" w:eastAsia="zh-CN"/>
        </w:rPr>
      </w:pPr>
      <w:r>
        <w:rPr>
          <w:rFonts w:hint="eastAsia" w:ascii="宋体" w:hAnsi="宋体" w:eastAsia="宋体" w:cs="宋体"/>
          <w:i w:val="0"/>
          <w:iCs w:val="0"/>
          <w:caps w:val="0"/>
          <w:color w:val="000000"/>
          <w:spacing w:val="0"/>
          <w:kern w:val="0"/>
          <w:sz w:val="21"/>
          <w:szCs w:val="21"/>
          <w:highlight w:val="none"/>
          <w:lang w:val="en-US" w:eastAsia="zh-CN" w:bidi="ar"/>
        </w:rPr>
        <w:t>联 系人：</w:t>
      </w:r>
      <w:r>
        <w:rPr>
          <w:rFonts w:hint="eastAsia" w:ascii="宋体" w:hAnsi="宋体" w:eastAsia="宋体" w:cs="宋体"/>
          <w:i w:val="0"/>
          <w:iCs w:val="0"/>
          <w:caps w:val="0"/>
          <w:color w:val="000000"/>
          <w:spacing w:val="0"/>
          <w:kern w:val="0"/>
          <w:sz w:val="21"/>
          <w:szCs w:val="21"/>
          <w:highlight w:val="none"/>
          <w:u w:val="single"/>
          <w:lang w:val="en-US" w:eastAsia="zh-CN" w:bidi="ar"/>
        </w:rPr>
        <w:t xml:space="preserve"> </w:t>
      </w:r>
      <w:r>
        <w:rPr>
          <w:rFonts w:hint="eastAsia" w:ascii="宋体" w:hAnsi="宋体" w:cs="宋体"/>
          <w:i w:val="0"/>
          <w:iCs w:val="0"/>
          <w:caps w:val="0"/>
          <w:color w:val="000000"/>
          <w:spacing w:val="0"/>
          <w:kern w:val="0"/>
          <w:sz w:val="21"/>
          <w:szCs w:val="21"/>
          <w:highlight w:val="none"/>
          <w:u w:val="single"/>
          <w:lang w:val="en-US" w:eastAsia="zh-CN" w:bidi="ar"/>
        </w:rPr>
        <w:t>卢女士</w:t>
      </w:r>
    </w:p>
    <w:p w14:paraId="352B8807">
      <w:pPr>
        <w:keepNext w:val="0"/>
        <w:keepLines w:val="0"/>
        <w:pageBreakBefore w:val="0"/>
        <w:widowControl/>
        <w:numPr>
          <w:ilvl w:val="0"/>
          <w:numId w:val="0"/>
        </w:numPr>
        <w:suppressLineNumbers w:val="0"/>
        <w:kinsoku/>
        <w:wordWrap/>
        <w:overflowPunct/>
        <w:topLinePunct w:val="0"/>
        <w:bidi w:val="0"/>
        <w:spacing w:before="0" w:beforeAutospacing="0" w:after="0" w:afterAutospacing="0" w:line="360" w:lineRule="auto"/>
        <w:ind w:left="496" w:leftChars="0" w:right="0" w:rightChars="0"/>
        <w:jc w:val="both"/>
        <w:textAlignment w:val="auto"/>
        <w:rPr>
          <w:rFonts w:hint="default"/>
          <w:sz w:val="21"/>
          <w:szCs w:val="21"/>
          <w:highlight w:val="none"/>
          <w:lang w:val="en-US"/>
        </w:rPr>
      </w:pPr>
      <w:r>
        <w:rPr>
          <w:rFonts w:hint="eastAsia" w:ascii="宋体" w:hAnsi="宋体" w:eastAsia="宋体" w:cs="宋体"/>
          <w:i w:val="0"/>
          <w:iCs w:val="0"/>
          <w:caps w:val="0"/>
          <w:color w:val="000000"/>
          <w:spacing w:val="0"/>
          <w:kern w:val="0"/>
          <w:sz w:val="21"/>
          <w:szCs w:val="21"/>
          <w:highlight w:val="none"/>
          <w:lang w:val="en-US" w:eastAsia="zh-CN" w:bidi="ar"/>
        </w:rPr>
        <w:t>（4）邮  编：</w:t>
      </w:r>
      <w:r>
        <w:rPr>
          <w:rFonts w:hint="eastAsia" w:ascii="宋体" w:hAnsi="宋体" w:eastAsia="宋体" w:cs="宋体"/>
          <w:i w:val="0"/>
          <w:iCs w:val="0"/>
          <w:caps w:val="0"/>
          <w:color w:val="000000"/>
          <w:spacing w:val="0"/>
          <w:kern w:val="0"/>
          <w:sz w:val="21"/>
          <w:szCs w:val="21"/>
          <w:highlight w:val="none"/>
          <w:u w:val="single"/>
          <w:lang w:val="en-US" w:eastAsia="zh-CN" w:bidi="ar"/>
        </w:rPr>
        <w:t>418000</w:t>
      </w:r>
    </w:p>
    <w:p w14:paraId="587382D0">
      <w:pPr>
        <w:keepNext w:val="0"/>
        <w:keepLines w:val="0"/>
        <w:pageBreakBefore w:val="0"/>
        <w:widowControl/>
        <w:numPr>
          <w:ilvl w:val="0"/>
          <w:numId w:val="1"/>
        </w:numPr>
        <w:suppressLineNumbers w:val="0"/>
        <w:kinsoku/>
        <w:wordWrap/>
        <w:overflowPunct/>
        <w:topLinePunct w:val="0"/>
        <w:bidi w:val="0"/>
        <w:spacing w:before="0" w:beforeAutospacing="0" w:after="0" w:afterAutospacing="0" w:line="360" w:lineRule="auto"/>
        <w:ind w:left="76" w:leftChars="0" w:right="0" w:firstLine="420" w:firstLineChars="0"/>
        <w:jc w:val="both"/>
        <w:textAlignment w:val="auto"/>
        <w:rPr>
          <w:rFonts w:hint="eastAsia" w:ascii="宋体" w:hAnsi="宋体" w:eastAsia="宋体" w:cs="宋体"/>
          <w:color w:val="auto"/>
          <w:kern w:val="1"/>
          <w:sz w:val="21"/>
          <w:szCs w:val="21"/>
          <w:highlight w:val="none"/>
          <w:u w:val="single"/>
          <w:lang w:val="en-US" w:eastAsia="zh-CN"/>
        </w:rPr>
      </w:pPr>
      <w:r>
        <w:rPr>
          <w:rFonts w:hint="eastAsia" w:ascii="宋体" w:hAnsi="宋体" w:eastAsia="宋体" w:cs="宋体"/>
          <w:i w:val="0"/>
          <w:iCs w:val="0"/>
          <w:caps w:val="0"/>
          <w:color w:val="000000"/>
          <w:spacing w:val="0"/>
          <w:kern w:val="0"/>
          <w:sz w:val="21"/>
          <w:szCs w:val="21"/>
          <w:highlight w:val="none"/>
          <w:lang w:val="en-US" w:eastAsia="zh-CN" w:bidi="ar"/>
        </w:rPr>
        <w:t>电  话：</w:t>
      </w:r>
      <w:r>
        <w:rPr>
          <w:rFonts w:hint="eastAsia" w:ascii="宋体" w:hAnsi="宋体" w:cs="宋体"/>
          <w:i w:val="0"/>
          <w:iCs w:val="0"/>
          <w:caps w:val="0"/>
          <w:color w:val="000000"/>
          <w:spacing w:val="0"/>
          <w:kern w:val="0"/>
          <w:sz w:val="21"/>
          <w:szCs w:val="21"/>
          <w:highlight w:val="none"/>
          <w:u w:val="single"/>
          <w:lang w:val="en-US" w:eastAsia="zh-CN" w:bidi="ar"/>
        </w:rPr>
        <w:t>0745-2557950</w:t>
      </w:r>
    </w:p>
    <w:bookmarkEnd w:id="21"/>
    <w:bookmarkEnd w:id="22"/>
    <w:bookmarkEnd w:id="23"/>
    <w:p w14:paraId="007E1B98">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11" w:firstLineChars="196"/>
        <w:jc w:val="both"/>
        <w:textAlignment w:val="auto"/>
        <w:rPr>
          <w:rFonts w:hint="eastAsia" w:ascii="宋体" w:hAnsi="宋体" w:eastAsia="宋体" w:cs="宋体"/>
          <w:b/>
          <w:bCs/>
          <w:szCs w:val="21"/>
          <w:highlight w:val="none"/>
          <w:lang w:val="en-US"/>
        </w:rPr>
      </w:pPr>
      <w:r>
        <w:rPr>
          <w:rFonts w:hint="eastAsia" w:ascii="宋体" w:hAnsi="宋体" w:eastAsia="宋体" w:cs="宋体"/>
          <w:b/>
          <w:bCs/>
          <w:kern w:val="2"/>
          <w:sz w:val="21"/>
          <w:szCs w:val="21"/>
          <w:highlight w:val="none"/>
          <w:lang w:val="en-US" w:eastAsia="zh-CN" w:bidi="ar"/>
        </w:rPr>
        <w:t>2、采购代理机构信息</w:t>
      </w:r>
    </w:p>
    <w:p w14:paraId="21B6F92A">
      <w:pPr>
        <w:pageBreakBefore w:val="0"/>
        <w:kinsoku/>
        <w:wordWrap/>
        <w:overflowPunct/>
        <w:topLinePunct w:val="0"/>
        <w:bidi w:val="0"/>
        <w:spacing w:afterAutospacing="0" w:line="360" w:lineRule="auto"/>
        <w:ind w:firstLine="420" w:firstLineChars="200"/>
        <w:textAlignment w:val="auto"/>
        <w:rPr>
          <w:rFonts w:ascii="宋体" w:hAnsi="宋体"/>
          <w:b w:val="0"/>
          <w:bCs w:val="0"/>
          <w:color w:val="auto"/>
          <w:szCs w:val="21"/>
          <w:highlight w:val="none"/>
        </w:rPr>
      </w:pPr>
      <w:r>
        <w:rPr>
          <w:rFonts w:hint="eastAsia" w:ascii="宋体" w:hAnsi="宋体"/>
          <w:b w:val="0"/>
          <w:bCs w:val="0"/>
          <w:color w:val="auto"/>
          <w:szCs w:val="21"/>
          <w:highlight w:val="none"/>
        </w:rPr>
        <w:t>（1）名  称：</w:t>
      </w:r>
      <w:r>
        <w:rPr>
          <w:rFonts w:hint="eastAsia" w:ascii="宋体" w:hAnsi="宋体" w:cs="宋体"/>
          <w:i w:val="0"/>
          <w:caps w:val="0"/>
          <w:color w:val="000000"/>
          <w:spacing w:val="0"/>
          <w:sz w:val="21"/>
          <w:szCs w:val="21"/>
          <w:highlight w:val="none"/>
          <w:u w:val="single"/>
          <w:lang w:eastAsia="zh-CN"/>
        </w:rPr>
        <w:t>湖南辰洲项目管理有限公司</w:t>
      </w:r>
    </w:p>
    <w:p w14:paraId="46A02EB0">
      <w:pPr>
        <w:pageBreakBefore w:val="0"/>
        <w:kinsoku/>
        <w:wordWrap/>
        <w:overflowPunct/>
        <w:topLinePunct w:val="0"/>
        <w:bidi w:val="0"/>
        <w:adjustRightInd w:val="0"/>
        <w:snapToGrid w:val="0"/>
        <w:spacing w:afterAutospacing="0" w:line="360" w:lineRule="auto"/>
        <w:ind w:firstLine="420" w:firstLineChars="200"/>
        <w:textAlignment w:val="auto"/>
        <w:rPr>
          <w:rFonts w:hint="eastAsia" w:ascii="宋体" w:hAnsi="宋体" w:eastAsia="宋体"/>
          <w:b w:val="0"/>
          <w:bCs w:val="0"/>
          <w:color w:val="auto"/>
          <w:szCs w:val="21"/>
          <w:highlight w:val="none"/>
          <w:u w:val="single"/>
          <w:lang w:eastAsia="zh-CN"/>
        </w:rPr>
      </w:pPr>
      <w:r>
        <w:rPr>
          <w:rFonts w:hint="eastAsia" w:ascii="宋体" w:hAnsi="宋体"/>
          <w:b w:val="0"/>
          <w:bCs w:val="0"/>
          <w:color w:val="auto"/>
          <w:szCs w:val="21"/>
          <w:highlight w:val="none"/>
        </w:rPr>
        <w:t>（2）地  址：</w:t>
      </w:r>
      <w:r>
        <w:rPr>
          <w:rFonts w:hint="eastAsia" w:ascii="宋体" w:hAnsi="宋体"/>
          <w:b w:val="0"/>
          <w:bCs w:val="0"/>
          <w:color w:val="auto"/>
          <w:szCs w:val="21"/>
          <w:highlight w:val="none"/>
          <w:u w:val="single"/>
          <w:lang w:eastAsia="zh-CN"/>
        </w:rPr>
        <w:t>怀化市鹤城区文化创意产业园区B10栋406室</w:t>
      </w:r>
    </w:p>
    <w:p w14:paraId="6BA935BC">
      <w:pPr>
        <w:pageBreakBefore w:val="0"/>
        <w:kinsoku/>
        <w:wordWrap/>
        <w:overflowPunct/>
        <w:topLinePunct w:val="0"/>
        <w:bidi w:val="0"/>
        <w:adjustRightInd w:val="0"/>
        <w:snapToGrid w:val="0"/>
        <w:spacing w:afterAutospacing="0" w:line="360" w:lineRule="auto"/>
        <w:ind w:firstLine="420" w:firstLineChars="200"/>
        <w:textAlignment w:val="auto"/>
        <w:rPr>
          <w:rFonts w:ascii="宋体" w:hAnsi="宋体"/>
          <w:b w:val="0"/>
          <w:bCs w:val="0"/>
          <w:color w:val="auto"/>
          <w:szCs w:val="21"/>
          <w:highlight w:val="none"/>
        </w:rPr>
      </w:pPr>
      <w:r>
        <w:rPr>
          <w:rFonts w:hint="eastAsia" w:ascii="宋体" w:hAnsi="宋体"/>
          <w:b w:val="0"/>
          <w:bCs w:val="0"/>
          <w:color w:val="auto"/>
          <w:szCs w:val="21"/>
          <w:highlight w:val="none"/>
        </w:rPr>
        <w:t>（3）联系人：</w:t>
      </w:r>
      <w:r>
        <w:rPr>
          <w:rFonts w:hint="eastAsia" w:ascii="宋体" w:hAnsi="宋体"/>
          <w:b w:val="0"/>
          <w:bCs w:val="0"/>
          <w:color w:val="auto"/>
          <w:szCs w:val="21"/>
          <w:highlight w:val="none"/>
          <w:u w:val="single"/>
        </w:rPr>
        <w:t xml:space="preserve"> </w:t>
      </w:r>
      <w:r>
        <w:rPr>
          <w:rFonts w:hint="eastAsia" w:ascii="宋体" w:hAnsi="宋体"/>
          <w:b w:val="0"/>
          <w:bCs w:val="0"/>
          <w:color w:val="auto"/>
          <w:szCs w:val="21"/>
          <w:highlight w:val="none"/>
          <w:u w:val="single"/>
          <w:lang w:val="en-US" w:eastAsia="zh-CN"/>
        </w:rPr>
        <w:t>谢</w:t>
      </w:r>
      <w:r>
        <w:rPr>
          <w:rFonts w:hint="eastAsia" w:ascii="宋体" w:hAnsi="宋体" w:eastAsia="宋体" w:cs="宋体"/>
          <w:i w:val="0"/>
          <w:iCs w:val="0"/>
          <w:caps w:val="0"/>
          <w:color w:val="000000"/>
          <w:spacing w:val="0"/>
          <w:kern w:val="0"/>
          <w:sz w:val="21"/>
          <w:szCs w:val="21"/>
          <w:highlight w:val="none"/>
          <w:u w:val="single"/>
          <w:lang w:val="en-US" w:eastAsia="zh-CN" w:bidi="ar"/>
        </w:rPr>
        <w:t>女士</w:t>
      </w:r>
    </w:p>
    <w:p w14:paraId="19114885">
      <w:pPr>
        <w:pageBreakBefore w:val="0"/>
        <w:kinsoku/>
        <w:wordWrap/>
        <w:overflowPunct/>
        <w:topLinePunct w:val="0"/>
        <w:bidi w:val="0"/>
        <w:adjustRightInd w:val="0"/>
        <w:snapToGrid w:val="0"/>
        <w:spacing w:afterAutospacing="0" w:line="360" w:lineRule="auto"/>
        <w:ind w:firstLine="420" w:firstLineChars="200"/>
        <w:textAlignment w:val="auto"/>
        <w:rPr>
          <w:rFonts w:ascii="宋体" w:hAnsi="宋体"/>
          <w:b w:val="0"/>
          <w:bCs w:val="0"/>
          <w:color w:val="auto"/>
          <w:szCs w:val="21"/>
          <w:highlight w:val="none"/>
        </w:rPr>
      </w:pPr>
      <w:r>
        <w:rPr>
          <w:rFonts w:hint="eastAsia" w:ascii="宋体" w:hAnsi="宋体"/>
          <w:b w:val="0"/>
          <w:bCs w:val="0"/>
          <w:color w:val="auto"/>
          <w:szCs w:val="21"/>
          <w:highlight w:val="none"/>
        </w:rPr>
        <w:t>（4）邮  编：</w:t>
      </w:r>
      <w:r>
        <w:rPr>
          <w:rFonts w:hint="eastAsia" w:ascii="宋体" w:hAnsi="宋体"/>
          <w:b w:val="0"/>
          <w:bCs w:val="0"/>
          <w:color w:val="auto"/>
          <w:szCs w:val="21"/>
          <w:highlight w:val="none"/>
          <w:u w:val="single"/>
        </w:rPr>
        <w:t xml:space="preserve">  </w:t>
      </w:r>
      <w:r>
        <w:rPr>
          <w:rFonts w:hint="eastAsia" w:ascii="宋体" w:hAnsi="宋体"/>
          <w:b w:val="0"/>
          <w:bCs w:val="0"/>
          <w:color w:val="auto"/>
          <w:szCs w:val="21"/>
          <w:highlight w:val="none"/>
          <w:u w:val="single"/>
          <w:lang w:val="en-US" w:eastAsia="zh-CN"/>
        </w:rPr>
        <w:t>418000</w:t>
      </w:r>
      <w:r>
        <w:rPr>
          <w:rFonts w:hint="eastAsia" w:ascii="宋体" w:hAnsi="宋体"/>
          <w:b w:val="0"/>
          <w:bCs w:val="0"/>
          <w:color w:val="auto"/>
          <w:szCs w:val="21"/>
          <w:highlight w:val="none"/>
          <w:u w:val="single"/>
        </w:rPr>
        <w:t xml:space="preserve">  </w:t>
      </w:r>
    </w:p>
    <w:p w14:paraId="1BE3E725">
      <w:pPr>
        <w:ind w:firstLine="420" w:firstLineChars="200"/>
        <w:rPr>
          <w:highlight w:val="none"/>
        </w:rPr>
      </w:pPr>
      <w:r>
        <w:rPr>
          <w:rFonts w:hint="eastAsia" w:ascii="宋体" w:hAnsi="宋体"/>
          <w:b w:val="0"/>
          <w:bCs w:val="0"/>
          <w:color w:val="auto"/>
          <w:szCs w:val="21"/>
          <w:highlight w:val="none"/>
        </w:rPr>
        <w:t>（5）电  话：</w:t>
      </w:r>
      <w:r>
        <w:rPr>
          <w:rFonts w:hint="eastAsia" w:ascii="宋体" w:hAnsi="宋体"/>
          <w:b w:val="0"/>
          <w:bCs w:val="0"/>
          <w:color w:val="auto"/>
          <w:szCs w:val="21"/>
          <w:highlight w:val="none"/>
          <w:u w:val="single"/>
        </w:rPr>
        <w:t xml:space="preserve"> </w:t>
      </w:r>
      <w:r>
        <w:rPr>
          <w:rFonts w:hint="eastAsia" w:ascii="宋体" w:hAnsi="宋体"/>
          <w:b w:val="0"/>
          <w:bCs w:val="0"/>
          <w:color w:val="auto"/>
          <w:szCs w:val="21"/>
          <w:highlight w:val="none"/>
          <w:u w:val="single"/>
          <w:lang w:val="en-US" w:eastAsia="zh-CN"/>
        </w:rPr>
        <w:t>19372176271</w:t>
      </w:r>
    </w:p>
    <w:p w14:paraId="1EA9951B">
      <w:pPr>
        <w:pageBreakBefore w:val="0"/>
        <w:kinsoku/>
        <w:wordWrap/>
        <w:overflowPunct/>
        <w:topLinePunct w:val="0"/>
        <w:bidi w:val="0"/>
        <w:adjustRightInd w:val="0"/>
        <w:snapToGrid w:val="0"/>
        <w:spacing w:afterAutospacing="0" w:line="360" w:lineRule="auto"/>
        <w:ind w:firstLine="420" w:firstLineChars="200"/>
        <w:textAlignment w:val="auto"/>
        <w:rPr>
          <w:rFonts w:hint="eastAsia" w:ascii="宋体" w:hAnsi="宋体"/>
          <w:b w:val="0"/>
          <w:bCs w:val="0"/>
          <w:color w:val="auto"/>
          <w:szCs w:val="21"/>
          <w:lang w:val="en-US" w:eastAsia="zh-CN"/>
        </w:rPr>
      </w:pPr>
    </w:p>
    <w:p w14:paraId="119B0078">
      <w:pPr>
        <w:pageBreakBefore w:val="0"/>
        <w:kinsoku/>
        <w:wordWrap/>
        <w:overflowPunct/>
        <w:topLinePunct w:val="0"/>
        <w:bidi w:val="0"/>
        <w:adjustRightInd w:val="0"/>
        <w:snapToGrid w:val="0"/>
        <w:spacing w:afterAutospacing="0" w:line="360" w:lineRule="auto"/>
        <w:ind w:firstLine="420" w:firstLineChars="200"/>
        <w:textAlignment w:val="auto"/>
        <w:rPr>
          <w:rFonts w:ascii="宋体" w:hAnsi="宋体"/>
          <w:b w:val="0"/>
          <w:bCs w:val="0"/>
          <w:color w:val="auto"/>
          <w:szCs w:val="21"/>
        </w:rPr>
      </w:pPr>
    </w:p>
    <w:p w14:paraId="0A481DCD">
      <w:pPr>
        <w:pageBreakBefore w:val="0"/>
        <w:kinsoku/>
        <w:wordWrap/>
        <w:overflowPunct/>
        <w:topLinePunct w:val="0"/>
        <w:bidi w:val="0"/>
        <w:adjustRightInd w:val="0"/>
        <w:snapToGrid w:val="0"/>
        <w:spacing w:afterAutospacing="0" w:line="360" w:lineRule="auto"/>
        <w:ind w:firstLine="420" w:firstLineChars="200"/>
        <w:textAlignment w:val="auto"/>
        <w:rPr>
          <w:rFonts w:ascii="宋体" w:hAnsi="宋体"/>
          <w:b w:val="0"/>
          <w:bCs w:val="0"/>
          <w:color w:val="auto"/>
          <w:szCs w:val="21"/>
        </w:rPr>
      </w:pPr>
      <w:r>
        <w:rPr>
          <w:rFonts w:hint="eastAsia" w:ascii="宋体" w:hAnsi="宋体"/>
          <w:b w:val="0"/>
          <w:bCs w:val="0"/>
          <w:color w:val="auto"/>
          <w:szCs w:val="21"/>
        </w:rPr>
        <w:t xml:space="preserve"> </w:t>
      </w:r>
    </w:p>
    <w:p w14:paraId="743B1F7B">
      <w:pPr>
        <w:pStyle w:val="19"/>
        <w:keepNext w:val="0"/>
        <w:keepLines w:val="0"/>
        <w:widowControl/>
        <w:suppressLineNumbers w:val="0"/>
        <w:spacing w:before="0" w:beforeAutospacing="0" w:after="0" w:afterAutospacing="0" w:line="360" w:lineRule="atLeast"/>
        <w:ind w:left="0" w:right="0" w:firstLine="300"/>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1"/>
          <w:szCs w:val="21"/>
        </w:rPr>
        <w:t> </w:t>
      </w:r>
    </w:p>
    <w:p w14:paraId="03D66653">
      <w:pPr>
        <w:rPr>
          <w:rFonts w:hint="eastAsia" w:ascii="仿宋" w:hAnsi="仿宋" w:eastAsia="仿宋" w:cs="仿宋"/>
          <w:b/>
          <w:sz w:val="28"/>
          <w:szCs w:val="28"/>
          <w:lang w:val="en-US" w:eastAsia="zh-CN"/>
        </w:rPr>
      </w:pPr>
    </w:p>
    <w:p w14:paraId="5A0697C3">
      <w:pPr>
        <w:rPr>
          <w:rFonts w:hint="eastAsia" w:ascii="仿宋" w:hAnsi="仿宋" w:eastAsia="仿宋" w:cs="仿宋"/>
          <w:b/>
          <w:sz w:val="28"/>
          <w:szCs w:val="28"/>
          <w:lang w:val="en-US" w:eastAsia="zh-CN"/>
        </w:rPr>
      </w:pPr>
    </w:p>
    <w:p w14:paraId="468E6702">
      <w:pPr>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br w:type="page"/>
      </w:r>
    </w:p>
    <w:p w14:paraId="43ECF778">
      <w:pPr>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附件1</w:t>
      </w:r>
    </w:p>
    <w:p w14:paraId="52FDEF2C">
      <w:pPr>
        <w:pStyle w:val="19"/>
        <w:keepNext w:val="0"/>
        <w:keepLines w:val="0"/>
        <w:widowControl/>
        <w:suppressLineNumbers w:val="0"/>
        <w:spacing w:before="152" w:beforeAutospacing="0" w:after="0" w:afterAutospacing="0" w:line="360" w:lineRule="auto"/>
        <w:ind w:left="152" w:right="0"/>
        <w:jc w:val="center"/>
        <w:rPr>
          <w:rFonts w:hint="eastAsia" w:ascii="仿宋" w:hAnsi="仿宋" w:eastAsia="仿宋" w:cs="仿宋"/>
          <w:sz w:val="28"/>
          <w:szCs w:val="28"/>
        </w:rPr>
      </w:pPr>
      <w:r>
        <w:rPr>
          <w:rFonts w:hint="eastAsia" w:ascii="仿宋" w:hAnsi="仿宋" w:eastAsia="仿宋" w:cs="仿宋"/>
          <w:b/>
          <w:sz w:val="28"/>
          <w:szCs w:val="28"/>
        </w:rPr>
        <w:t>供应商资格声明(格式)</w:t>
      </w:r>
    </w:p>
    <w:p w14:paraId="497EEB7E">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0"/>
        <w:jc w:val="left"/>
        <w:textAlignment w:val="auto"/>
        <w:rPr>
          <w:rFonts w:hint="eastAsia" w:ascii="宋体" w:hAnsi="宋体" w:eastAsia="宋体" w:cs="宋体"/>
          <w:sz w:val="21"/>
          <w:szCs w:val="21"/>
        </w:rPr>
      </w:pPr>
      <w:r>
        <w:rPr>
          <w:rFonts w:hint="eastAsia" w:ascii="宋体" w:hAnsi="宋体" w:eastAsia="宋体" w:cs="宋体"/>
          <w:sz w:val="21"/>
          <w:szCs w:val="21"/>
        </w:rPr>
        <w:t>致(采购人、采购代理机构)：</w:t>
      </w:r>
    </w:p>
    <w:p w14:paraId="5B4B8598">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按照《中华人民共和国政府采购法》及实施条例和(项目名称)邀请公告的规定，我单位郑重声明如下：</w:t>
      </w:r>
    </w:p>
    <w:p w14:paraId="03096269">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一、我单位是按照中华人民共和国法律规定登记注册的，注册地点为，全称为，统一社会信用代码为，法定代表人（</w:t>
      </w:r>
      <w:r>
        <w:rPr>
          <w:rFonts w:hint="eastAsia" w:ascii="宋体" w:hAnsi="宋体" w:eastAsia="宋体" w:cs="宋体"/>
          <w:spacing w:val="-2"/>
          <w:sz w:val="21"/>
          <w:szCs w:val="21"/>
        </w:rPr>
        <w:t>单</w:t>
      </w:r>
      <w:r>
        <w:rPr>
          <w:rFonts w:hint="eastAsia" w:ascii="宋体" w:hAnsi="宋体" w:eastAsia="宋体" w:cs="宋体"/>
          <w:sz w:val="21"/>
          <w:szCs w:val="21"/>
        </w:rPr>
        <w:t>位</w:t>
      </w:r>
      <w:r>
        <w:rPr>
          <w:rFonts w:hint="eastAsia" w:ascii="宋体" w:hAnsi="宋体" w:eastAsia="宋体" w:cs="宋体"/>
          <w:spacing w:val="-2"/>
          <w:sz w:val="21"/>
          <w:szCs w:val="21"/>
        </w:rPr>
        <w:t>负</w:t>
      </w:r>
      <w:r>
        <w:rPr>
          <w:rFonts w:hint="eastAsia" w:ascii="宋体" w:hAnsi="宋体" w:eastAsia="宋体" w:cs="宋体"/>
          <w:sz w:val="21"/>
          <w:szCs w:val="21"/>
        </w:rPr>
        <w:t>责人</w:t>
      </w:r>
      <w:r>
        <w:rPr>
          <w:rFonts w:hint="eastAsia" w:ascii="宋体" w:hAnsi="宋体" w:eastAsia="宋体" w:cs="宋体"/>
          <w:spacing w:val="-2"/>
          <w:sz w:val="21"/>
          <w:szCs w:val="21"/>
        </w:rPr>
        <w:t>）</w:t>
      </w:r>
      <w:r>
        <w:rPr>
          <w:rFonts w:hint="eastAsia" w:ascii="宋体" w:hAnsi="宋体" w:eastAsia="宋体" w:cs="宋体"/>
          <w:sz w:val="21"/>
          <w:szCs w:val="21"/>
        </w:rPr>
        <w:t>为，具有独立承担民事责任的能力。</w:t>
      </w:r>
    </w:p>
    <w:p w14:paraId="42940E52">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二、我单位具有良好的商业信誉和健全的财务会计制度。</w:t>
      </w:r>
    </w:p>
    <w:p w14:paraId="49FD3AC7">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三、我单位依法进行纳税和社会保险申报并实际履行了义务。</w:t>
      </w:r>
    </w:p>
    <w:p w14:paraId="25BD63A0">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四、我单位具有履行本项目采购合同所必需的设备和专业技术能力，并具有履行合同的良好记录。</w:t>
      </w:r>
    </w:p>
    <w:p w14:paraId="62759596">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五、我单位在参加采购项目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14:paraId="6D7420FA">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0"/>
        <w:jc w:val="left"/>
        <w:textAlignment w:val="auto"/>
        <w:rPr>
          <w:rFonts w:hint="eastAsia" w:ascii="宋体" w:hAnsi="宋体" w:eastAsia="宋体" w:cs="宋体"/>
          <w:sz w:val="21"/>
          <w:szCs w:val="21"/>
        </w:rPr>
      </w:pPr>
      <w:r>
        <w:rPr>
          <w:rFonts w:hint="eastAsia" w:ascii="宋体" w:hAnsi="宋体" w:eastAsia="宋体" w:cs="宋体"/>
          <w:sz w:val="21"/>
          <w:szCs w:val="21"/>
        </w:rPr>
        <w:t>供应商在参加采购活动前3年内因违法经营被禁止在一定期限内参加采购活动，期限届满的，可以参加采购活动。</w:t>
      </w:r>
    </w:p>
    <w:p w14:paraId="5DBB1DCC">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六、我单位具备法律、行政法规规定的其他条件。</w:t>
      </w:r>
    </w:p>
    <w:p w14:paraId="4E61ED52">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七、与我单位存在“单位负责人为同一人或者存在直接控股、管理关系”的其他单位信息如下（如无，填写“无”）：</w:t>
      </w:r>
      <w:r>
        <w:rPr>
          <w:rFonts w:hint="eastAsia" w:ascii="宋体" w:hAnsi="宋体" w:eastAsia="宋体" w:cs="宋体"/>
          <w:sz w:val="21"/>
          <w:szCs w:val="21"/>
          <w:u w:val="single"/>
          <w:lang w:val="en-US" w:eastAsia="zh-CN"/>
        </w:rPr>
        <w:t xml:space="preserve">         </w:t>
      </w:r>
    </w:p>
    <w:p w14:paraId="6C9E15CC">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1、与我单位的法定代表人（单位负责人）为同一人的其他单位如下：</w:t>
      </w:r>
      <w:r>
        <w:rPr>
          <w:rFonts w:hint="eastAsia" w:ascii="宋体" w:hAnsi="宋体" w:eastAsia="宋体" w:cs="宋体"/>
          <w:sz w:val="21"/>
          <w:szCs w:val="21"/>
          <w:u w:val="single"/>
          <w:lang w:val="en-US" w:eastAsia="zh-CN"/>
        </w:rPr>
        <w:t xml:space="preserve">         </w:t>
      </w:r>
    </w:p>
    <w:p w14:paraId="2632E9DD">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both"/>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2、我单位直接控股的其他单位如下：</w:t>
      </w:r>
      <w:r>
        <w:rPr>
          <w:rFonts w:hint="eastAsia" w:ascii="宋体" w:hAnsi="宋体" w:eastAsia="宋体" w:cs="宋体"/>
          <w:sz w:val="21"/>
          <w:szCs w:val="21"/>
          <w:u w:val="single"/>
          <w:lang w:val="en-US" w:eastAsia="zh-CN"/>
        </w:rPr>
        <w:t xml:space="preserve">         </w:t>
      </w:r>
    </w:p>
    <w:p w14:paraId="5E87CACF">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3、与我单位存在管理关系的其他单位如下：</w:t>
      </w:r>
      <w:r>
        <w:rPr>
          <w:rFonts w:hint="eastAsia" w:ascii="宋体" w:hAnsi="宋体" w:eastAsia="宋体" w:cs="宋体"/>
          <w:sz w:val="21"/>
          <w:szCs w:val="21"/>
          <w:u w:val="single"/>
          <w:lang w:val="en-US" w:eastAsia="zh-CN"/>
        </w:rPr>
        <w:t xml:space="preserve">         </w:t>
      </w:r>
    </w:p>
    <w:p w14:paraId="5055C8DB">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八、我单位不属于为本项目提供整体设计、规范编制或者项目管理、监理、检测等服务的供应商。</w:t>
      </w:r>
    </w:p>
    <w:p w14:paraId="1390F1B4">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九、我单位无以下不良信用记录情形：</w:t>
      </w:r>
    </w:p>
    <w:p w14:paraId="14A93537">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1、在“信用中国”网站被列入重大税收违法案件当事人名单；</w:t>
      </w:r>
    </w:p>
    <w:p w14:paraId="7893C3D1">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2、在“中国政府采购网”网站被列入政府采购严重违法失信行为记录名单；</w:t>
      </w:r>
    </w:p>
    <w:p w14:paraId="2D8D4FEB">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3、不符合《政府采购法》第二十二条规定的条件。</w:t>
      </w:r>
    </w:p>
    <w:p w14:paraId="6EC1DAB9">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我单位保证上述声明的事项都是真实的，如有虚假，我单位愿意承担相应的法律责任，并承担因此所造成的一切损失。</w:t>
      </w:r>
    </w:p>
    <w:p w14:paraId="5E676DA3">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注：第</w:t>
      </w:r>
      <w:r>
        <w:rPr>
          <w:rFonts w:hint="eastAsia" w:ascii="宋体" w:hAnsi="宋体" w:eastAsia="宋体" w:cs="宋体"/>
          <w:sz w:val="21"/>
          <w:szCs w:val="21"/>
          <w:lang w:eastAsia="zh-CN"/>
        </w:rPr>
        <w:t>二</w:t>
      </w:r>
      <w:r>
        <w:rPr>
          <w:rFonts w:hint="eastAsia" w:ascii="宋体" w:hAnsi="宋体" w:eastAsia="宋体" w:cs="宋体"/>
          <w:sz w:val="21"/>
          <w:szCs w:val="21"/>
        </w:rPr>
        <w:t>条“良好的商业信誉”是指供应商经营状况良好，无本承诺函</w:t>
      </w:r>
      <w:r>
        <w:rPr>
          <w:rFonts w:hint="eastAsia" w:ascii="宋体" w:hAnsi="宋体" w:eastAsia="宋体" w:cs="宋体"/>
          <w:sz w:val="21"/>
          <w:szCs w:val="21"/>
          <w:lang w:eastAsia="zh-CN"/>
        </w:rPr>
        <w:t>第九条</w:t>
      </w:r>
      <w:r>
        <w:rPr>
          <w:rFonts w:hint="eastAsia" w:ascii="宋体" w:hAnsi="宋体" w:eastAsia="宋体" w:cs="宋体"/>
          <w:sz w:val="21"/>
          <w:szCs w:val="21"/>
        </w:rPr>
        <w:t>情形。</w:t>
      </w:r>
    </w:p>
    <w:p w14:paraId="181ABBE8">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0"/>
        <w:jc w:val="left"/>
        <w:textAlignment w:val="auto"/>
        <w:rPr>
          <w:rFonts w:hint="eastAsia" w:ascii="宋体" w:hAnsi="宋体" w:eastAsia="宋体" w:cs="宋体"/>
          <w:sz w:val="21"/>
          <w:szCs w:val="21"/>
        </w:rPr>
      </w:pPr>
      <w:r>
        <w:rPr>
          <w:rFonts w:hint="eastAsia" w:ascii="宋体" w:hAnsi="宋体" w:eastAsia="宋体" w:cs="宋体"/>
          <w:sz w:val="21"/>
          <w:szCs w:val="21"/>
        </w:rPr>
        <w:t>供应商名称（盖单位公章）：</w:t>
      </w:r>
    </w:p>
    <w:p w14:paraId="7D10A4AE">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法</w:t>
      </w:r>
      <w:r>
        <w:rPr>
          <w:rFonts w:hint="eastAsia" w:ascii="宋体" w:hAnsi="宋体" w:eastAsia="宋体" w:cs="宋体"/>
          <w:sz w:val="21"/>
          <w:szCs w:val="21"/>
        </w:rPr>
        <w:t>定</w:t>
      </w:r>
      <w:r>
        <w:rPr>
          <w:rFonts w:hint="eastAsia" w:ascii="宋体" w:hAnsi="宋体" w:eastAsia="宋体" w:cs="宋体"/>
          <w:spacing w:val="-2"/>
          <w:sz w:val="21"/>
          <w:szCs w:val="21"/>
        </w:rPr>
        <w:t>代</w:t>
      </w:r>
      <w:r>
        <w:rPr>
          <w:rFonts w:hint="eastAsia" w:ascii="宋体" w:hAnsi="宋体" w:eastAsia="宋体" w:cs="宋体"/>
          <w:sz w:val="21"/>
          <w:szCs w:val="21"/>
        </w:rPr>
        <w:t>表</w:t>
      </w:r>
      <w:r>
        <w:rPr>
          <w:rFonts w:hint="eastAsia" w:ascii="宋体" w:hAnsi="宋体" w:eastAsia="宋体" w:cs="宋体"/>
          <w:spacing w:val="-2"/>
          <w:sz w:val="21"/>
          <w:szCs w:val="21"/>
        </w:rPr>
        <w:t>人</w:t>
      </w:r>
      <w:r>
        <w:rPr>
          <w:rFonts w:hint="eastAsia" w:ascii="宋体" w:hAnsi="宋体" w:eastAsia="宋体" w:cs="宋体"/>
          <w:sz w:val="21"/>
          <w:szCs w:val="21"/>
        </w:rPr>
        <w:t>（</w:t>
      </w:r>
      <w:r>
        <w:rPr>
          <w:rFonts w:hint="eastAsia" w:ascii="宋体" w:hAnsi="宋体" w:eastAsia="宋体" w:cs="宋体"/>
          <w:spacing w:val="-2"/>
          <w:sz w:val="21"/>
          <w:szCs w:val="21"/>
        </w:rPr>
        <w:t>单</w:t>
      </w:r>
      <w:r>
        <w:rPr>
          <w:rFonts w:hint="eastAsia" w:ascii="宋体" w:hAnsi="宋体" w:eastAsia="宋体" w:cs="宋体"/>
          <w:sz w:val="21"/>
          <w:szCs w:val="21"/>
        </w:rPr>
        <w:t>位</w:t>
      </w:r>
      <w:r>
        <w:rPr>
          <w:rFonts w:hint="eastAsia" w:ascii="宋体" w:hAnsi="宋体" w:eastAsia="宋体" w:cs="宋体"/>
          <w:spacing w:val="-2"/>
          <w:sz w:val="21"/>
          <w:szCs w:val="21"/>
        </w:rPr>
        <w:t>负</w:t>
      </w:r>
      <w:r>
        <w:rPr>
          <w:rFonts w:hint="eastAsia" w:ascii="宋体" w:hAnsi="宋体" w:eastAsia="宋体" w:cs="宋体"/>
          <w:sz w:val="21"/>
          <w:szCs w:val="21"/>
        </w:rPr>
        <w:t>责人</w:t>
      </w:r>
      <w:r>
        <w:rPr>
          <w:rFonts w:hint="eastAsia" w:ascii="宋体" w:hAnsi="宋体" w:eastAsia="宋体" w:cs="宋体"/>
          <w:spacing w:val="-2"/>
          <w:sz w:val="21"/>
          <w:szCs w:val="21"/>
        </w:rPr>
        <w:t>）</w:t>
      </w:r>
      <w:r>
        <w:rPr>
          <w:rFonts w:hint="eastAsia" w:ascii="宋体" w:hAnsi="宋体" w:eastAsia="宋体" w:cs="宋体"/>
          <w:sz w:val="21"/>
          <w:szCs w:val="21"/>
        </w:rPr>
        <w:t>或委托代理人：（签字或印章）</w:t>
      </w:r>
    </w:p>
    <w:p w14:paraId="3F16CA3D">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632E683">
      <w:pPr>
        <w:pStyle w:val="7"/>
        <w:rPr>
          <w:rFonts w:hint="eastAsia" w:ascii="宋体" w:hAnsi="宋体" w:eastAsia="宋体" w:cs="宋体"/>
          <w:sz w:val="21"/>
          <w:szCs w:val="21"/>
        </w:rPr>
      </w:pPr>
    </w:p>
    <w:p w14:paraId="61240FD5">
      <w:pPr>
        <w:rPr>
          <w:rFonts w:hint="eastAsia" w:ascii="宋体" w:hAnsi="宋体" w:eastAsia="宋体" w:cs="宋体"/>
          <w:b/>
          <w:spacing w:val="0"/>
          <w:kern w:val="0"/>
          <w:sz w:val="28"/>
          <w:szCs w:val="28"/>
          <w:lang w:val="en-US" w:eastAsia="zh-CN" w:bidi="ar-SA"/>
        </w:rPr>
      </w:pPr>
      <w:r>
        <w:rPr>
          <w:rFonts w:hint="eastAsia" w:ascii="宋体" w:hAnsi="宋体" w:eastAsia="宋体" w:cs="宋体"/>
          <w:b/>
          <w:spacing w:val="0"/>
          <w:kern w:val="0"/>
          <w:sz w:val="28"/>
          <w:szCs w:val="28"/>
          <w:lang w:val="en-US" w:eastAsia="zh-CN" w:bidi="ar-SA"/>
        </w:rPr>
        <w:t xml:space="preserve">附件2        </w:t>
      </w:r>
    </w:p>
    <w:p w14:paraId="7024FB04">
      <w:pPr>
        <w:jc w:val="center"/>
        <w:rPr>
          <w:rFonts w:hint="eastAsia" w:ascii="宋体" w:hAnsi="宋体" w:eastAsia="宋体" w:cs="宋体"/>
          <w:b/>
          <w:spacing w:val="0"/>
          <w:kern w:val="0"/>
          <w:sz w:val="28"/>
          <w:szCs w:val="28"/>
          <w:lang w:val="en-US" w:eastAsia="zh-CN" w:bidi="ar-SA"/>
        </w:rPr>
      </w:pPr>
      <w:r>
        <w:rPr>
          <w:rFonts w:hint="eastAsia" w:ascii="宋体" w:hAnsi="宋体" w:eastAsia="宋体" w:cs="宋体"/>
          <w:b/>
          <w:spacing w:val="0"/>
          <w:kern w:val="0"/>
          <w:sz w:val="28"/>
          <w:szCs w:val="28"/>
          <w:lang w:val="en-US" w:eastAsia="zh-CN" w:bidi="ar-SA"/>
        </w:rPr>
        <w:t>湖南省政府采购供应商资格承诺函（格式）</w:t>
      </w:r>
    </w:p>
    <w:p w14:paraId="4D3FE517">
      <w:pPr>
        <w:pStyle w:val="19"/>
        <w:pageBreakBefore w:val="0"/>
        <w:kinsoku/>
        <w:wordWrap/>
        <w:overflowPunct/>
        <w:topLinePunct w:val="0"/>
        <w:autoSpaceDE/>
        <w:autoSpaceDN/>
        <w:bidi w:val="0"/>
        <w:spacing w:before="0" w:beforeAutospacing="0" w:after="0" w:afterAutospacing="0" w:line="360" w:lineRule="auto"/>
        <w:textAlignment w:val="auto"/>
        <w:rPr>
          <w:rFonts w:hint="eastAsia"/>
          <w:spacing w:val="0"/>
          <w:sz w:val="21"/>
          <w:szCs w:val="21"/>
          <w:lang w:val="en-US" w:eastAsia="zh-CN"/>
        </w:rPr>
      </w:pPr>
    </w:p>
    <w:p w14:paraId="570F5065">
      <w:pPr>
        <w:pStyle w:val="19"/>
        <w:pageBreakBefore w:val="0"/>
        <w:kinsoku/>
        <w:wordWrap/>
        <w:overflowPunct/>
        <w:topLinePunct w:val="0"/>
        <w:autoSpaceDE/>
        <w:autoSpaceDN/>
        <w:bidi w:val="0"/>
        <w:spacing w:before="0" w:beforeAutospacing="0" w:after="0" w:afterAutospacing="0" w:line="360" w:lineRule="auto"/>
        <w:ind w:firstLine="420" w:firstLineChars="0"/>
        <w:textAlignment w:val="auto"/>
        <w:rPr>
          <w:rFonts w:hint="eastAsia"/>
          <w:spacing w:val="0"/>
          <w:sz w:val="21"/>
          <w:szCs w:val="21"/>
          <w:lang w:val="en-US" w:eastAsia="zh-CN"/>
        </w:rPr>
      </w:pPr>
      <w:r>
        <w:rPr>
          <w:rFonts w:hint="eastAsia"/>
          <w:spacing w:val="0"/>
          <w:sz w:val="21"/>
          <w:szCs w:val="21"/>
          <w:lang w:val="en-US" w:eastAsia="zh-CN"/>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1973E258">
      <w:pPr>
        <w:pStyle w:val="19"/>
        <w:pageBreakBefore w:val="0"/>
        <w:kinsoku/>
        <w:wordWrap/>
        <w:overflowPunct/>
        <w:topLinePunct w:val="0"/>
        <w:autoSpaceDE/>
        <w:autoSpaceDN/>
        <w:bidi w:val="0"/>
        <w:spacing w:before="0" w:beforeAutospacing="0" w:after="0" w:afterAutospacing="0" w:line="360" w:lineRule="auto"/>
        <w:ind w:firstLine="420" w:firstLineChars="0"/>
        <w:textAlignment w:val="auto"/>
        <w:rPr>
          <w:rFonts w:hint="eastAsia"/>
          <w:spacing w:val="0"/>
          <w:sz w:val="21"/>
          <w:szCs w:val="21"/>
          <w:lang w:val="en-US" w:eastAsia="zh-CN"/>
        </w:rPr>
      </w:pPr>
      <w:r>
        <w:rPr>
          <w:rFonts w:hint="eastAsia"/>
          <w:spacing w:val="0"/>
          <w:sz w:val="21"/>
          <w:szCs w:val="21"/>
          <w:lang w:val="en-US" w:eastAsia="zh-CN"/>
        </w:rPr>
        <w:t>按照《政府采购促进中小企业发展管理办法》（财库〔2020〕46号），本公司企业规模为：大型</w:t>
      </w:r>
      <w:r>
        <w:rPr>
          <w:rFonts w:hint="eastAsia" w:ascii="宋体" w:hAnsi="宋体" w:eastAsia="宋体" w:cs="宋体"/>
          <w:spacing w:val="0"/>
          <w:sz w:val="21"/>
          <w:szCs w:val="21"/>
          <w:lang w:val="en-US" w:eastAsia="zh-CN"/>
        </w:rPr>
        <w:t>□</w:t>
      </w:r>
      <w:r>
        <w:rPr>
          <w:rFonts w:hint="eastAsia"/>
          <w:spacing w:val="0"/>
          <w:sz w:val="21"/>
          <w:szCs w:val="21"/>
          <w:lang w:val="en-US" w:eastAsia="zh-CN"/>
        </w:rPr>
        <w:t xml:space="preserve"> 中型</w:t>
      </w:r>
      <w:r>
        <w:rPr>
          <w:rFonts w:hint="eastAsia" w:ascii="宋体" w:hAnsi="宋体" w:eastAsia="宋体" w:cs="宋体"/>
          <w:spacing w:val="0"/>
          <w:sz w:val="21"/>
          <w:szCs w:val="21"/>
          <w:lang w:val="en-US" w:eastAsia="zh-CN"/>
        </w:rPr>
        <w:t>□</w:t>
      </w:r>
      <w:r>
        <w:rPr>
          <w:rFonts w:hint="eastAsia"/>
          <w:spacing w:val="0"/>
          <w:sz w:val="21"/>
          <w:szCs w:val="21"/>
          <w:lang w:val="en-US" w:eastAsia="zh-CN"/>
        </w:rPr>
        <w:t xml:space="preserve">  小型</w:t>
      </w:r>
      <w:r>
        <w:rPr>
          <w:rFonts w:hint="eastAsia" w:ascii="宋体" w:hAnsi="宋体" w:eastAsia="宋体" w:cs="宋体"/>
          <w:spacing w:val="0"/>
          <w:sz w:val="21"/>
          <w:szCs w:val="21"/>
          <w:lang w:val="en-US" w:eastAsia="zh-CN"/>
        </w:rPr>
        <w:t>□</w:t>
      </w:r>
      <w:r>
        <w:rPr>
          <w:rFonts w:hint="eastAsia"/>
          <w:spacing w:val="0"/>
          <w:sz w:val="21"/>
          <w:szCs w:val="21"/>
          <w:lang w:val="en-US" w:eastAsia="zh-CN"/>
        </w:rPr>
        <w:t xml:space="preserve"> 微型</w:t>
      </w:r>
      <w:r>
        <w:rPr>
          <w:rFonts w:hint="eastAsia" w:ascii="宋体" w:hAnsi="宋体" w:eastAsia="宋体" w:cs="宋体"/>
          <w:spacing w:val="0"/>
          <w:sz w:val="21"/>
          <w:szCs w:val="21"/>
          <w:lang w:val="en-US" w:eastAsia="zh-CN"/>
        </w:rPr>
        <w:t>□</w:t>
      </w:r>
      <w:r>
        <w:rPr>
          <w:rFonts w:hint="eastAsia"/>
          <w:spacing w:val="0"/>
          <w:sz w:val="21"/>
          <w:szCs w:val="21"/>
          <w:lang w:val="en-US" w:eastAsia="zh-CN"/>
        </w:rPr>
        <w:t xml:space="preserve"> </w:t>
      </w:r>
    </w:p>
    <w:p w14:paraId="49AA13B0">
      <w:pPr>
        <w:pStyle w:val="19"/>
        <w:pageBreakBefore w:val="0"/>
        <w:kinsoku/>
        <w:wordWrap/>
        <w:overflowPunct/>
        <w:topLinePunct w:val="0"/>
        <w:autoSpaceDE/>
        <w:autoSpaceDN/>
        <w:bidi w:val="0"/>
        <w:spacing w:before="0" w:beforeAutospacing="0" w:after="0" w:afterAutospacing="0" w:line="360" w:lineRule="auto"/>
        <w:ind w:firstLine="420" w:firstLineChars="0"/>
        <w:textAlignment w:val="auto"/>
        <w:rPr>
          <w:rFonts w:hint="default"/>
          <w:spacing w:val="0"/>
          <w:sz w:val="21"/>
          <w:szCs w:val="21"/>
          <w:lang w:val="en-US" w:eastAsia="zh-CN"/>
        </w:rPr>
      </w:pPr>
    </w:p>
    <w:p w14:paraId="082C9BE7">
      <w:pPr>
        <w:pStyle w:val="19"/>
        <w:pageBreakBefore w:val="0"/>
        <w:kinsoku/>
        <w:wordWrap/>
        <w:overflowPunct/>
        <w:topLinePunct w:val="0"/>
        <w:autoSpaceDE/>
        <w:autoSpaceDN/>
        <w:bidi w:val="0"/>
        <w:spacing w:before="0" w:beforeAutospacing="0" w:after="0" w:afterAutospacing="0" w:line="360" w:lineRule="auto"/>
        <w:ind w:firstLine="420" w:firstLineChars="0"/>
        <w:textAlignment w:val="auto"/>
        <w:rPr>
          <w:rFonts w:hint="default"/>
          <w:spacing w:val="0"/>
          <w:sz w:val="21"/>
          <w:szCs w:val="21"/>
          <w:lang w:val="en-US" w:eastAsia="zh-CN"/>
        </w:rPr>
      </w:pPr>
    </w:p>
    <w:p w14:paraId="16647498">
      <w:pPr>
        <w:pStyle w:val="19"/>
        <w:pageBreakBefore w:val="0"/>
        <w:kinsoku/>
        <w:wordWrap/>
        <w:overflowPunct/>
        <w:topLinePunct w:val="0"/>
        <w:autoSpaceDE/>
        <w:autoSpaceDN/>
        <w:bidi w:val="0"/>
        <w:spacing w:before="0" w:beforeAutospacing="0" w:after="0" w:afterAutospacing="0" w:line="360" w:lineRule="auto"/>
        <w:ind w:firstLine="420" w:firstLineChars="0"/>
        <w:textAlignment w:val="auto"/>
        <w:rPr>
          <w:rFonts w:hint="default"/>
          <w:spacing w:val="0"/>
          <w:sz w:val="21"/>
          <w:szCs w:val="21"/>
          <w:lang w:val="en-US" w:eastAsia="zh-CN"/>
        </w:rPr>
      </w:pPr>
      <w:r>
        <w:rPr>
          <w:rFonts w:hint="default"/>
          <w:spacing w:val="0"/>
          <w:sz w:val="21"/>
          <w:szCs w:val="21"/>
          <w:lang w:val="en-US" w:eastAsia="zh-CN"/>
        </w:rPr>
        <w:t xml:space="preserve"> </w:t>
      </w:r>
    </w:p>
    <w:p w14:paraId="33FF7C9C">
      <w:pPr>
        <w:pStyle w:val="19"/>
        <w:pageBreakBefore w:val="0"/>
        <w:kinsoku/>
        <w:wordWrap/>
        <w:overflowPunct/>
        <w:topLinePunct w:val="0"/>
        <w:autoSpaceDE/>
        <w:autoSpaceDN/>
        <w:bidi w:val="0"/>
        <w:spacing w:before="0" w:beforeAutospacing="0" w:after="0" w:afterAutospacing="0" w:line="360" w:lineRule="auto"/>
        <w:ind w:firstLine="420" w:firstLineChars="0"/>
        <w:textAlignment w:val="auto"/>
        <w:rPr>
          <w:rFonts w:hint="default"/>
          <w:spacing w:val="0"/>
          <w:sz w:val="21"/>
          <w:szCs w:val="21"/>
          <w:lang w:val="en-US" w:eastAsia="zh-CN"/>
        </w:rPr>
      </w:pPr>
    </w:p>
    <w:p w14:paraId="1B5CF6D9">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20" w:lineRule="exact"/>
        <w:ind w:left="0" w:firstLine="210" w:firstLineChars="100"/>
        <w:textAlignment w:val="auto"/>
        <w:rPr>
          <w:spacing w:val="0"/>
          <w:sz w:val="21"/>
          <w:szCs w:val="21"/>
        </w:rPr>
      </w:pPr>
      <w:r>
        <w:rPr>
          <w:rFonts w:hint="eastAsia"/>
          <w:spacing w:val="0"/>
          <w:sz w:val="21"/>
          <w:szCs w:val="21"/>
        </w:rPr>
        <w:t>供应商名称（盖单位公章）：</w:t>
      </w:r>
    </w:p>
    <w:p w14:paraId="435A2016">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20" w:lineRule="exact"/>
        <w:ind w:left="0" w:firstLine="210" w:firstLineChars="100"/>
        <w:textAlignment w:val="auto"/>
        <w:rPr>
          <w:spacing w:val="0"/>
          <w:sz w:val="21"/>
          <w:szCs w:val="21"/>
        </w:rPr>
      </w:pPr>
      <w:r>
        <w:rPr>
          <w:rFonts w:hint="eastAsia"/>
          <w:spacing w:val="0"/>
          <w:sz w:val="21"/>
          <w:szCs w:val="21"/>
        </w:rPr>
        <w:t>法定代表人（单位负责人）或委托代理人：（签字或印章）</w:t>
      </w:r>
    </w:p>
    <w:p w14:paraId="74BF5293">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20" w:lineRule="exact"/>
        <w:ind w:left="0" w:firstLine="210" w:firstLineChars="100"/>
        <w:textAlignment w:val="auto"/>
        <w:rPr>
          <w:rFonts w:hint="eastAsia"/>
          <w:spacing w:val="0"/>
          <w:sz w:val="21"/>
          <w:szCs w:val="21"/>
        </w:rPr>
      </w:pPr>
      <w:r>
        <w:rPr>
          <w:rFonts w:hint="eastAsia"/>
          <w:spacing w:val="0"/>
          <w:sz w:val="21"/>
          <w:szCs w:val="21"/>
        </w:rPr>
        <w:t xml:space="preserve">日期： </w:t>
      </w:r>
      <w:r>
        <w:rPr>
          <w:rFonts w:hint="eastAsia"/>
          <w:spacing w:val="0"/>
          <w:sz w:val="21"/>
          <w:szCs w:val="21"/>
          <w:lang w:val="en-US" w:eastAsia="zh-CN"/>
        </w:rPr>
        <w:t xml:space="preserve">     </w:t>
      </w:r>
      <w:r>
        <w:rPr>
          <w:rFonts w:hint="eastAsia"/>
          <w:spacing w:val="0"/>
          <w:sz w:val="21"/>
          <w:szCs w:val="21"/>
        </w:rPr>
        <w:t>年  月  日</w:t>
      </w:r>
    </w:p>
    <w:p w14:paraId="2779B25B"/>
    <w:p w14:paraId="6BD3EFF3">
      <w:pPr>
        <w:keepNext w:val="0"/>
        <w:keepLines w:val="0"/>
        <w:widowControl/>
        <w:suppressLineNumbers w:val="0"/>
        <w:spacing w:before="65" w:beforeAutospacing="0" w:after="100" w:afterAutospacing="0" w:line="377" w:lineRule="atLeast"/>
        <w:ind w:left="152" w:leftChars="0" w:right="116" w:hanging="152" w:hangingChars="65"/>
        <w:jc w:val="left"/>
      </w:pPr>
      <w:r>
        <w:rPr>
          <w:rFonts w:hint="eastAsia" w:ascii="宋体" w:hAnsi="宋体" w:eastAsia="宋体" w:cs="宋体"/>
          <w:i w:val="0"/>
          <w:iCs w:val="0"/>
          <w:caps w:val="0"/>
          <w:color w:val="000000"/>
          <w:spacing w:val="12"/>
          <w:kern w:val="0"/>
          <w:sz w:val="21"/>
          <w:szCs w:val="21"/>
          <w:lang w:val="en-US" w:eastAsia="zh-CN" w:bidi="ar"/>
        </w:rPr>
        <w:t>机构代码</w:t>
      </w:r>
      <w:r>
        <w:rPr>
          <w:rFonts w:hint="eastAsia" w:ascii="宋体" w:hAnsi="宋体" w:eastAsia="宋体" w:cs="宋体"/>
          <w:i w:val="0"/>
          <w:iCs w:val="0"/>
          <w:caps w:val="0"/>
          <w:color w:val="000000"/>
          <w:spacing w:val="10"/>
          <w:kern w:val="0"/>
          <w:sz w:val="21"/>
          <w:szCs w:val="21"/>
          <w:lang w:val="en-US" w:eastAsia="zh-CN" w:bidi="ar"/>
        </w:rPr>
        <w:t>、</w:t>
      </w:r>
      <w:r>
        <w:rPr>
          <w:rFonts w:hint="eastAsia" w:ascii="宋体" w:hAnsi="宋体" w:eastAsia="宋体" w:cs="宋体"/>
          <w:i w:val="0"/>
          <w:iCs w:val="0"/>
          <w:caps w:val="0"/>
          <w:color w:val="000000"/>
          <w:spacing w:val="6"/>
          <w:kern w:val="0"/>
          <w:sz w:val="21"/>
          <w:szCs w:val="21"/>
          <w:lang w:val="en-US" w:eastAsia="zh-CN" w:bidi="ar"/>
        </w:rPr>
        <w:t>注册登记机构、 日期、有效期、注册资本、地址、经济行业、经济性质</w:t>
      </w:r>
      <w:r>
        <w:rPr>
          <w:rFonts w:hint="eastAsia" w:ascii="宋体" w:hAnsi="宋体" w:eastAsia="宋体" w:cs="宋体"/>
          <w:i w:val="0"/>
          <w:iCs w:val="0"/>
          <w:caps w:val="0"/>
          <w:color w:val="000000"/>
          <w:spacing w:val="0"/>
          <w:kern w:val="0"/>
          <w:sz w:val="21"/>
          <w:szCs w:val="21"/>
          <w:lang w:val="en-US" w:eastAsia="zh-CN" w:bidi="ar"/>
        </w:rPr>
        <w:t xml:space="preserve"> </w:t>
      </w:r>
    </w:p>
    <w:p w14:paraId="22954FE8">
      <w:pPr>
        <w:keepNext w:val="0"/>
        <w:keepLines w:val="0"/>
        <w:widowControl/>
        <w:suppressLineNumbers w:val="0"/>
        <w:spacing w:before="65" w:beforeAutospacing="0" w:after="100" w:afterAutospacing="0" w:line="377" w:lineRule="atLeast"/>
        <w:ind w:left="146" w:leftChars="0" w:right="116" w:hanging="146" w:hangingChars="65"/>
        <w:jc w:val="left"/>
      </w:pPr>
      <w:r>
        <w:rPr>
          <w:rFonts w:hint="eastAsia" w:ascii="宋体" w:hAnsi="宋体" w:eastAsia="宋体" w:cs="宋体"/>
          <w:i w:val="0"/>
          <w:iCs w:val="0"/>
          <w:caps w:val="0"/>
          <w:color w:val="000000"/>
          <w:spacing w:val="8"/>
          <w:kern w:val="0"/>
          <w:sz w:val="21"/>
          <w:szCs w:val="21"/>
          <w:lang w:val="en-US" w:eastAsia="zh-CN" w:bidi="ar"/>
        </w:rPr>
        <w:t>法定代表人 (负责人) 姓名 (签字) 、身份证号、手机号</w:t>
      </w:r>
      <w:r>
        <w:rPr>
          <w:rFonts w:hint="eastAsia" w:ascii="宋体" w:hAnsi="宋体" w:eastAsia="宋体" w:cs="宋体"/>
          <w:i w:val="0"/>
          <w:iCs w:val="0"/>
          <w:caps w:val="0"/>
          <w:color w:val="000000"/>
          <w:spacing w:val="7"/>
          <w:kern w:val="0"/>
          <w:sz w:val="21"/>
          <w:szCs w:val="21"/>
          <w:lang w:val="en-US" w:eastAsia="zh-CN" w:bidi="ar"/>
        </w:rPr>
        <w:t>：</w:t>
      </w:r>
    </w:p>
    <w:p w14:paraId="39ABD5D6">
      <w:pPr>
        <w:keepNext w:val="0"/>
        <w:keepLines w:val="0"/>
        <w:widowControl/>
        <w:suppressLineNumbers w:val="0"/>
        <w:spacing w:before="100" w:beforeAutospacing="0" w:after="100" w:afterAutospacing="0" w:line="420" w:lineRule="atLeast"/>
        <w:ind w:left="154" w:leftChars="0" w:right="0" w:hanging="154" w:hangingChars="65"/>
        <w:jc w:val="left"/>
        <w:rPr>
          <w:rFonts w:hint="eastAsia" w:ascii="宋体" w:hAnsi="宋体"/>
          <w:b/>
          <w:bCs/>
          <w:color w:val="auto"/>
          <w:sz w:val="32"/>
          <w:szCs w:val="32"/>
        </w:rPr>
      </w:pPr>
      <w:r>
        <w:rPr>
          <w:rFonts w:hint="eastAsia" w:ascii="宋体" w:hAnsi="宋体" w:eastAsia="宋体" w:cs="宋体"/>
          <w:i w:val="0"/>
          <w:iCs w:val="0"/>
          <w:caps w:val="0"/>
          <w:color w:val="000000"/>
          <w:spacing w:val="14"/>
          <w:kern w:val="0"/>
          <w:sz w:val="21"/>
          <w:szCs w:val="21"/>
          <w:lang w:val="en-US" w:eastAsia="zh-CN" w:bidi="ar"/>
        </w:rPr>
        <w:t>授</w:t>
      </w:r>
      <w:r>
        <w:rPr>
          <w:rFonts w:hint="eastAsia" w:ascii="宋体" w:hAnsi="宋体" w:eastAsia="宋体" w:cs="宋体"/>
          <w:i w:val="0"/>
          <w:iCs w:val="0"/>
          <w:caps w:val="0"/>
          <w:color w:val="000000"/>
          <w:spacing w:val="8"/>
          <w:kern w:val="0"/>
          <w:sz w:val="21"/>
          <w:szCs w:val="21"/>
          <w:lang w:val="en-US" w:eastAsia="zh-CN" w:bidi="ar"/>
        </w:rPr>
        <w:t>权代表人姓名 (签字) 、身份证号、手机号：</w:t>
      </w:r>
    </w:p>
    <w:p w14:paraId="11826F89">
      <w:pPr>
        <w:rPr>
          <w:rFonts w:hint="eastAsia"/>
          <w:b/>
          <w:bCs w:val="0"/>
        </w:rPr>
      </w:pPr>
      <w:bookmarkStart w:id="26" w:name="_Toc6551"/>
      <w:r>
        <w:rPr>
          <w:rFonts w:hint="eastAsia"/>
          <w:b/>
          <w:bCs w:val="0"/>
        </w:rPr>
        <w:br w:type="page"/>
      </w:r>
    </w:p>
    <w:p w14:paraId="65464E79">
      <w:pPr>
        <w:pStyle w:val="3"/>
        <w:bidi w:val="0"/>
        <w:rPr>
          <w:rFonts w:hint="eastAsia"/>
          <w:b/>
          <w:bCs w:val="0"/>
        </w:rPr>
      </w:pPr>
      <w:bookmarkStart w:id="27" w:name="_Toc27240"/>
      <w:r>
        <w:rPr>
          <w:rFonts w:hint="eastAsia"/>
          <w:b/>
          <w:bCs w:val="0"/>
        </w:rPr>
        <w:t>第二章  磋商须知</w:t>
      </w:r>
      <w:bookmarkEnd w:id="3"/>
      <w:bookmarkEnd w:id="26"/>
      <w:bookmarkEnd w:id="27"/>
    </w:p>
    <w:p w14:paraId="20EE295D">
      <w:pPr>
        <w:pStyle w:val="4"/>
        <w:bidi w:val="0"/>
        <w:rPr>
          <w:rFonts w:hint="eastAsia"/>
        </w:rPr>
      </w:pPr>
      <w:bookmarkStart w:id="28" w:name="_Toc3760"/>
      <w:bookmarkStart w:id="29" w:name="_Toc56496708"/>
      <w:bookmarkStart w:id="30" w:name="_Toc481"/>
      <w:r>
        <w:rPr>
          <w:rFonts w:hint="eastAsia"/>
          <w:sz w:val="28"/>
          <w:szCs w:val="28"/>
        </w:rPr>
        <w:t>第</w:t>
      </w:r>
      <w:r>
        <w:rPr>
          <w:rFonts w:hint="eastAsia"/>
          <w:sz w:val="28"/>
          <w:szCs w:val="28"/>
          <w:lang w:eastAsia="zh-CN"/>
        </w:rPr>
        <w:t>一</w:t>
      </w:r>
      <w:r>
        <w:rPr>
          <w:rFonts w:hint="eastAsia"/>
          <w:sz w:val="28"/>
          <w:szCs w:val="28"/>
        </w:rPr>
        <w:t>节</w:t>
      </w:r>
      <w:r>
        <w:rPr>
          <w:rFonts w:hint="eastAsia"/>
          <w:sz w:val="28"/>
          <w:szCs w:val="28"/>
          <w:lang w:val="en-US" w:eastAsia="zh-CN"/>
        </w:rPr>
        <w:t xml:space="preserve"> </w:t>
      </w:r>
      <w:r>
        <w:rPr>
          <w:rFonts w:hint="eastAsia"/>
          <w:sz w:val="28"/>
          <w:szCs w:val="28"/>
        </w:rPr>
        <w:t>磋商须知前附表</w:t>
      </w:r>
      <w:bookmarkEnd w:id="28"/>
      <w:bookmarkEnd w:id="29"/>
      <w:bookmarkEnd w:id="30"/>
    </w:p>
    <w:tbl>
      <w:tblPr>
        <w:tblStyle w:val="22"/>
        <w:tblW w:w="1004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428"/>
        <w:gridCol w:w="2220"/>
        <w:gridCol w:w="6398"/>
      </w:tblGrid>
      <w:tr w14:paraId="518EE5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6C812121">
            <w:pPr>
              <w:adjustRightInd w:val="0"/>
              <w:snapToGrid w:val="0"/>
              <w:spacing w:before="156" w:beforeLines="50" w:line="360" w:lineRule="auto"/>
              <w:jc w:val="center"/>
              <w:rPr>
                <w:rFonts w:ascii="宋体" w:hAnsi="宋体"/>
                <w:b/>
                <w:color w:val="auto"/>
                <w:szCs w:val="21"/>
              </w:rPr>
            </w:pPr>
            <w:r>
              <w:rPr>
                <w:rFonts w:hint="eastAsia" w:ascii="宋体" w:hAnsi="宋体"/>
                <w:b/>
                <w:color w:val="auto"/>
                <w:szCs w:val="21"/>
              </w:rPr>
              <w:t>条款号</w:t>
            </w:r>
          </w:p>
        </w:tc>
        <w:tc>
          <w:tcPr>
            <w:tcW w:w="2220" w:type="dxa"/>
            <w:noWrap w:val="0"/>
            <w:vAlign w:val="center"/>
          </w:tcPr>
          <w:p w14:paraId="22368ABE">
            <w:pPr>
              <w:adjustRightInd w:val="0"/>
              <w:snapToGrid w:val="0"/>
              <w:spacing w:before="156" w:beforeLines="50" w:line="360" w:lineRule="auto"/>
              <w:jc w:val="center"/>
              <w:rPr>
                <w:rFonts w:ascii="宋体" w:hAnsi="宋体"/>
                <w:b/>
                <w:color w:val="auto"/>
                <w:szCs w:val="21"/>
              </w:rPr>
            </w:pPr>
            <w:r>
              <w:rPr>
                <w:rFonts w:hint="eastAsia" w:ascii="宋体" w:hAnsi="宋体"/>
                <w:b/>
                <w:color w:val="auto"/>
                <w:szCs w:val="21"/>
              </w:rPr>
              <w:t>条款名称</w:t>
            </w:r>
          </w:p>
        </w:tc>
        <w:tc>
          <w:tcPr>
            <w:tcW w:w="6398" w:type="dxa"/>
            <w:noWrap w:val="0"/>
            <w:vAlign w:val="center"/>
          </w:tcPr>
          <w:p w14:paraId="52D48E4F">
            <w:pPr>
              <w:adjustRightInd w:val="0"/>
              <w:snapToGrid w:val="0"/>
              <w:spacing w:before="156" w:beforeLines="50" w:line="360" w:lineRule="auto"/>
              <w:jc w:val="center"/>
              <w:rPr>
                <w:rFonts w:ascii="宋体" w:hAnsi="宋体"/>
                <w:b/>
                <w:color w:val="auto"/>
                <w:szCs w:val="21"/>
              </w:rPr>
            </w:pPr>
            <w:r>
              <w:rPr>
                <w:rFonts w:hint="eastAsia" w:ascii="宋体" w:hAnsi="宋体"/>
                <w:b/>
                <w:color w:val="auto"/>
                <w:szCs w:val="21"/>
              </w:rPr>
              <w:t>编列内容规定</w:t>
            </w:r>
          </w:p>
        </w:tc>
      </w:tr>
      <w:tr w14:paraId="76CC31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0046" w:type="dxa"/>
            <w:gridSpan w:val="3"/>
            <w:noWrap w:val="0"/>
            <w:vAlign w:val="center"/>
          </w:tcPr>
          <w:p w14:paraId="79733A7E">
            <w:pPr>
              <w:adjustRightInd w:val="0"/>
              <w:snapToGrid w:val="0"/>
              <w:spacing w:before="50" w:line="360" w:lineRule="auto"/>
              <w:rPr>
                <w:rFonts w:ascii="宋体" w:hAnsi="宋体"/>
                <w:color w:val="auto"/>
                <w:szCs w:val="21"/>
              </w:rPr>
            </w:pPr>
            <w:r>
              <w:rPr>
                <w:rFonts w:hint="eastAsia" w:ascii="宋体" w:hAnsi="宋体"/>
                <w:b/>
                <w:color w:val="auto"/>
                <w:szCs w:val="21"/>
              </w:rPr>
              <w:t>一、说明</w:t>
            </w:r>
          </w:p>
        </w:tc>
      </w:tr>
      <w:tr w14:paraId="77BA6C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4EF291FA">
            <w:pPr>
              <w:adjustRightInd w:val="0"/>
              <w:snapToGrid w:val="0"/>
              <w:spacing w:before="50" w:line="360" w:lineRule="auto"/>
              <w:jc w:val="center"/>
              <w:rPr>
                <w:rFonts w:ascii="宋体" w:hAnsi="宋体"/>
                <w:color w:val="auto"/>
                <w:szCs w:val="21"/>
              </w:rPr>
            </w:pPr>
            <w:r>
              <w:rPr>
                <w:rFonts w:hint="eastAsia" w:ascii="宋体" w:hAnsi="宋体"/>
                <w:color w:val="auto"/>
                <w:szCs w:val="21"/>
              </w:rPr>
              <w:t>第1.1款</w:t>
            </w:r>
          </w:p>
        </w:tc>
        <w:tc>
          <w:tcPr>
            <w:tcW w:w="2220" w:type="dxa"/>
            <w:noWrap w:val="0"/>
            <w:vAlign w:val="center"/>
          </w:tcPr>
          <w:p w14:paraId="70E3094B">
            <w:pPr>
              <w:adjustRightInd w:val="0"/>
              <w:snapToGrid w:val="0"/>
              <w:spacing w:before="50" w:line="360" w:lineRule="auto"/>
              <w:jc w:val="center"/>
              <w:rPr>
                <w:rFonts w:ascii="宋体" w:hAnsi="宋体"/>
                <w:color w:val="auto"/>
                <w:szCs w:val="21"/>
              </w:rPr>
            </w:pPr>
            <w:r>
              <w:rPr>
                <w:rFonts w:hint="eastAsia" w:ascii="宋体" w:hAnsi="宋体"/>
                <w:color w:val="auto"/>
                <w:szCs w:val="21"/>
              </w:rPr>
              <w:t>采购项目</w:t>
            </w:r>
          </w:p>
        </w:tc>
        <w:tc>
          <w:tcPr>
            <w:tcW w:w="6398" w:type="dxa"/>
            <w:noWrap w:val="0"/>
            <w:vAlign w:val="center"/>
          </w:tcPr>
          <w:p w14:paraId="5A316B19">
            <w:pPr>
              <w:adjustRightInd w:val="0"/>
              <w:snapToGrid w:val="0"/>
              <w:spacing w:before="50" w:line="360" w:lineRule="auto"/>
              <w:rPr>
                <w:rFonts w:ascii="宋体" w:hAnsi="宋体"/>
                <w:color w:val="auto"/>
                <w:szCs w:val="21"/>
              </w:rPr>
            </w:pPr>
            <w:r>
              <w:rPr>
                <w:rFonts w:hint="eastAsia" w:ascii="宋体" w:hAnsi="宋体"/>
                <w:color w:val="auto"/>
                <w:szCs w:val="21"/>
                <w:lang w:val="en-US" w:eastAsia="zh-CN"/>
              </w:rPr>
              <w:t>鹤北新城城中村改造安置区配电工程（外线部分）（第三次）</w:t>
            </w:r>
          </w:p>
        </w:tc>
      </w:tr>
      <w:tr w14:paraId="11D5BE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012BB647">
            <w:pPr>
              <w:adjustRightInd w:val="0"/>
              <w:snapToGrid w:val="0"/>
              <w:spacing w:before="50" w:line="360" w:lineRule="auto"/>
              <w:jc w:val="center"/>
              <w:rPr>
                <w:rFonts w:ascii="宋体" w:hAnsi="宋体"/>
                <w:color w:val="auto"/>
                <w:szCs w:val="21"/>
              </w:rPr>
            </w:pPr>
            <w:r>
              <w:rPr>
                <w:rFonts w:hint="eastAsia" w:ascii="宋体" w:hAnsi="宋体"/>
                <w:color w:val="auto"/>
                <w:szCs w:val="21"/>
              </w:rPr>
              <w:t>第1.2款</w:t>
            </w:r>
          </w:p>
        </w:tc>
        <w:tc>
          <w:tcPr>
            <w:tcW w:w="2220" w:type="dxa"/>
            <w:noWrap w:val="0"/>
            <w:vAlign w:val="center"/>
          </w:tcPr>
          <w:p w14:paraId="7B078BC3">
            <w:pPr>
              <w:adjustRightInd w:val="0"/>
              <w:snapToGrid w:val="0"/>
              <w:spacing w:before="50" w:line="360" w:lineRule="auto"/>
              <w:jc w:val="center"/>
              <w:rPr>
                <w:rFonts w:ascii="宋体" w:hAnsi="宋体"/>
                <w:color w:val="auto"/>
                <w:szCs w:val="21"/>
              </w:rPr>
            </w:pPr>
            <w:r>
              <w:rPr>
                <w:rFonts w:hint="eastAsia" w:ascii="宋体" w:hAnsi="宋体"/>
                <w:color w:val="auto"/>
                <w:szCs w:val="21"/>
              </w:rPr>
              <w:t>是否预留采购份额</w:t>
            </w:r>
          </w:p>
        </w:tc>
        <w:tc>
          <w:tcPr>
            <w:tcW w:w="6398" w:type="dxa"/>
            <w:noWrap w:val="0"/>
            <w:vAlign w:val="center"/>
          </w:tcPr>
          <w:p w14:paraId="25C5FC16">
            <w:pPr>
              <w:adjustRightInd w:val="0"/>
              <w:snapToGrid w:val="0"/>
              <w:spacing w:before="50" w:line="360" w:lineRule="auto"/>
              <w:rPr>
                <w:rFonts w:hint="default" w:ascii="宋体" w:hAnsi="宋体" w:eastAsia="宋体"/>
                <w:color w:val="auto"/>
                <w:szCs w:val="21"/>
                <w:lang w:val="en-US" w:eastAsia="zh-CN"/>
              </w:rPr>
            </w:pPr>
            <w:r>
              <w:rPr>
                <w:rFonts w:hint="eastAsia" w:ascii="宋体" w:hAnsi="宋体"/>
                <w:color w:val="auto"/>
                <w:szCs w:val="21"/>
                <w:lang w:val="en-US" w:eastAsia="zh-CN"/>
              </w:rPr>
              <w:t>否</w:t>
            </w:r>
          </w:p>
        </w:tc>
      </w:tr>
      <w:tr w14:paraId="106796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384444DA">
            <w:pPr>
              <w:adjustRightInd w:val="0"/>
              <w:snapToGrid w:val="0"/>
              <w:spacing w:before="50" w:line="360" w:lineRule="auto"/>
              <w:jc w:val="center"/>
              <w:rPr>
                <w:rFonts w:ascii="宋体" w:hAnsi="宋体"/>
                <w:color w:val="auto"/>
                <w:szCs w:val="21"/>
              </w:rPr>
            </w:pPr>
            <w:r>
              <w:rPr>
                <w:rFonts w:hint="eastAsia" w:ascii="宋体" w:hAnsi="宋体"/>
                <w:color w:val="auto"/>
                <w:szCs w:val="21"/>
              </w:rPr>
              <w:t>第2.1款</w:t>
            </w:r>
          </w:p>
        </w:tc>
        <w:tc>
          <w:tcPr>
            <w:tcW w:w="2220" w:type="dxa"/>
            <w:noWrap w:val="0"/>
            <w:vAlign w:val="center"/>
          </w:tcPr>
          <w:p w14:paraId="4269492B">
            <w:pPr>
              <w:adjustRightInd w:val="0"/>
              <w:snapToGrid w:val="0"/>
              <w:spacing w:before="50" w:line="240" w:lineRule="auto"/>
              <w:jc w:val="center"/>
              <w:rPr>
                <w:rFonts w:ascii="宋体" w:hAnsi="宋体"/>
                <w:color w:val="auto"/>
                <w:szCs w:val="21"/>
              </w:rPr>
            </w:pPr>
            <w:r>
              <w:rPr>
                <w:rFonts w:hint="eastAsia" w:ascii="宋体" w:hAnsi="宋体"/>
                <w:color w:val="auto"/>
                <w:szCs w:val="21"/>
              </w:rPr>
              <w:t>采购项目联系人姓名和电话</w:t>
            </w:r>
          </w:p>
        </w:tc>
        <w:tc>
          <w:tcPr>
            <w:tcW w:w="6398" w:type="dxa"/>
            <w:noWrap w:val="0"/>
            <w:vAlign w:val="center"/>
          </w:tcPr>
          <w:p w14:paraId="60B17EF2">
            <w:pPr>
              <w:keepNext w:val="0"/>
              <w:keepLines w:val="0"/>
              <w:pageBreakBefore w:val="0"/>
              <w:widowControl w:val="0"/>
              <w:kinsoku/>
              <w:wordWrap/>
              <w:overflowPunct/>
              <w:topLinePunct w:val="0"/>
              <w:autoSpaceDE/>
              <w:autoSpaceDN/>
              <w:bidi w:val="0"/>
              <w:spacing w:line="240" w:lineRule="auto"/>
              <w:textAlignment w:val="auto"/>
              <w:rPr>
                <w:rFonts w:hint="default" w:ascii="宋体" w:hAnsi="宋体"/>
                <w:color w:val="auto"/>
                <w:szCs w:val="21"/>
                <w:lang w:val="en-US" w:eastAsia="zh-CN"/>
              </w:rPr>
            </w:pPr>
            <w:r>
              <w:rPr>
                <w:rFonts w:hint="eastAsia" w:ascii="宋体" w:hAnsi="宋体"/>
                <w:color w:val="auto"/>
                <w:szCs w:val="21"/>
              </w:rPr>
              <w:t>联 系 人：</w:t>
            </w:r>
            <w:r>
              <w:rPr>
                <w:rFonts w:hint="eastAsia" w:ascii="宋体" w:hAnsi="宋体" w:eastAsia="宋体" w:cs="Times New Roman"/>
                <w:color w:val="auto"/>
                <w:szCs w:val="21"/>
                <w:lang w:val="en-US" w:eastAsia="zh-CN"/>
              </w:rPr>
              <w:t xml:space="preserve"> </w:t>
            </w:r>
            <w:r>
              <w:rPr>
                <w:rFonts w:hint="eastAsia" w:ascii="宋体" w:hAnsi="宋体" w:cs="Times New Roman"/>
                <w:color w:val="auto"/>
                <w:szCs w:val="21"/>
                <w:lang w:val="en-US" w:eastAsia="zh-CN"/>
              </w:rPr>
              <w:t>卢女士</w:t>
            </w:r>
          </w:p>
          <w:p w14:paraId="324C4600">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宋体" w:hAnsi="宋体"/>
                <w:color w:val="auto"/>
                <w:szCs w:val="21"/>
              </w:rPr>
            </w:pPr>
            <w:r>
              <w:rPr>
                <w:rFonts w:hint="eastAsia" w:ascii="宋体" w:hAnsi="宋体"/>
                <w:color w:val="auto"/>
                <w:szCs w:val="21"/>
              </w:rPr>
              <w:t>电    话：</w:t>
            </w:r>
            <w:r>
              <w:rPr>
                <w:rFonts w:hint="eastAsia" w:ascii="宋体" w:hAnsi="宋体"/>
                <w:color w:val="auto"/>
                <w:szCs w:val="21"/>
                <w:lang w:val="en-US" w:eastAsia="zh-CN"/>
              </w:rPr>
              <w:t>0745-2557950</w:t>
            </w:r>
          </w:p>
        </w:tc>
      </w:tr>
      <w:tr w14:paraId="30262B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510CFAED">
            <w:pPr>
              <w:adjustRightInd w:val="0"/>
              <w:snapToGrid w:val="0"/>
              <w:spacing w:before="50" w:line="360" w:lineRule="auto"/>
              <w:jc w:val="center"/>
              <w:rPr>
                <w:rFonts w:ascii="宋体" w:hAnsi="宋体"/>
                <w:color w:val="auto"/>
                <w:szCs w:val="21"/>
              </w:rPr>
            </w:pPr>
            <w:r>
              <w:rPr>
                <w:rFonts w:hint="eastAsia" w:ascii="宋体" w:hAnsi="宋体"/>
                <w:color w:val="auto"/>
                <w:szCs w:val="21"/>
              </w:rPr>
              <w:t>第2.2款</w:t>
            </w:r>
          </w:p>
        </w:tc>
        <w:tc>
          <w:tcPr>
            <w:tcW w:w="2220" w:type="dxa"/>
            <w:noWrap w:val="0"/>
            <w:vAlign w:val="top"/>
          </w:tcPr>
          <w:p w14:paraId="05CFEC9F">
            <w:pPr>
              <w:adjustRightInd w:val="0"/>
              <w:snapToGrid w:val="0"/>
              <w:spacing w:before="50" w:line="360" w:lineRule="auto"/>
              <w:jc w:val="center"/>
              <w:rPr>
                <w:rFonts w:hint="eastAsia"/>
                <w:color w:val="auto"/>
              </w:rPr>
            </w:pPr>
          </w:p>
          <w:p w14:paraId="1409A30A">
            <w:pPr>
              <w:adjustRightInd w:val="0"/>
              <w:snapToGrid w:val="0"/>
              <w:spacing w:before="50" w:line="360" w:lineRule="auto"/>
              <w:jc w:val="center"/>
              <w:rPr>
                <w:color w:val="auto"/>
              </w:rPr>
            </w:pPr>
            <w:r>
              <w:rPr>
                <w:rFonts w:hint="eastAsia"/>
                <w:color w:val="auto"/>
              </w:rPr>
              <w:t>采购人名称、地址、电话、联系人</w:t>
            </w:r>
          </w:p>
        </w:tc>
        <w:tc>
          <w:tcPr>
            <w:tcW w:w="6398" w:type="dxa"/>
            <w:noWrap w:val="0"/>
            <w:vAlign w:val="center"/>
          </w:tcPr>
          <w:p w14:paraId="46D8DD97">
            <w:pPr>
              <w:adjustRightInd w:val="0"/>
              <w:snapToGrid w:val="0"/>
              <w:spacing w:before="50" w:line="240" w:lineRule="auto"/>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 xml:space="preserve">名  称： </w:t>
            </w:r>
            <w:r>
              <w:rPr>
                <w:rFonts w:hint="eastAsia" w:ascii="宋体" w:hAnsi="宋体" w:cs="Times New Roman"/>
                <w:color w:val="auto"/>
                <w:szCs w:val="21"/>
                <w:lang w:val="en-US" w:eastAsia="zh-CN"/>
              </w:rPr>
              <w:t>怀化市鹤城区城市建设投资有限公司</w:t>
            </w:r>
            <w:r>
              <w:rPr>
                <w:rFonts w:hint="eastAsia" w:ascii="宋体" w:hAnsi="宋体" w:eastAsia="宋体" w:cs="Times New Roman"/>
                <w:color w:val="auto"/>
                <w:szCs w:val="21"/>
                <w:lang w:val="en-US" w:eastAsia="zh-CN"/>
              </w:rPr>
              <w:t xml:space="preserve">      </w:t>
            </w:r>
          </w:p>
          <w:p w14:paraId="39D3E7C1">
            <w:pPr>
              <w:adjustRightInd w:val="0"/>
              <w:snapToGrid w:val="0"/>
              <w:spacing w:before="50" w:line="240" w:lineRule="auto"/>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地  址：</w:t>
            </w:r>
            <w:r>
              <w:rPr>
                <w:rFonts w:hint="eastAsia" w:ascii="宋体" w:hAnsi="宋体" w:cs="Times New Roman"/>
                <w:color w:val="auto"/>
                <w:szCs w:val="21"/>
                <w:lang w:val="en-US" w:eastAsia="zh-CN"/>
              </w:rPr>
              <w:t>怀化市鹤城区石门乡阳塘村（鹤城工业集中区阳塘产业园）</w:t>
            </w:r>
          </w:p>
          <w:p w14:paraId="063CF819">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color w:val="auto"/>
                <w:szCs w:val="21"/>
                <w:lang w:eastAsia="zh-CN"/>
              </w:rPr>
            </w:pPr>
            <w:r>
              <w:rPr>
                <w:rFonts w:hint="eastAsia" w:ascii="宋体" w:hAnsi="宋体"/>
                <w:color w:val="auto"/>
                <w:szCs w:val="21"/>
              </w:rPr>
              <w:t>联 系 人：</w:t>
            </w:r>
            <w:r>
              <w:rPr>
                <w:rFonts w:hint="eastAsia" w:ascii="宋体" w:hAnsi="宋体" w:cs="Times New Roman"/>
                <w:color w:val="auto"/>
                <w:szCs w:val="21"/>
                <w:lang w:val="en-US" w:eastAsia="zh-CN"/>
              </w:rPr>
              <w:t>卢女士</w:t>
            </w:r>
          </w:p>
          <w:p w14:paraId="200A71B5">
            <w:pPr>
              <w:adjustRightInd w:val="0"/>
              <w:snapToGrid w:val="0"/>
              <w:spacing w:before="50" w:line="240" w:lineRule="auto"/>
              <w:rPr>
                <w:rFonts w:ascii="宋体" w:hAnsi="宋体"/>
                <w:color w:val="auto"/>
                <w:szCs w:val="21"/>
              </w:rPr>
            </w:pPr>
            <w:r>
              <w:rPr>
                <w:rFonts w:hint="eastAsia" w:ascii="宋体" w:hAnsi="宋体"/>
                <w:color w:val="auto"/>
                <w:szCs w:val="21"/>
              </w:rPr>
              <w:t>电    话：</w:t>
            </w:r>
            <w:r>
              <w:rPr>
                <w:rFonts w:hint="eastAsia" w:ascii="宋体" w:hAnsi="宋体"/>
                <w:color w:val="auto"/>
                <w:szCs w:val="21"/>
                <w:lang w:val="en-US" w:eastAsia="zh-CN"/>
              </w:rPr>
              <w:t>0745-2557950</w:t>
            </w:r>
          </w:p>
        </w:tc>
      </w:tr>
      <w:tr w14:paraId="7B9FE8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21" w:hRule="atLeast"/>
          <w:tblHeader/>
          <w:jc w:val="center"/>
        </w:trPr>
        <w:tc>
          <w:tcPr>
            <w:tcW w:w="1428" w:type="dxa"/>
            <w:noWrap w:val="0"/>
            <w:vAlign w:val="center"/>
          </w:tcPr>
          <w:p w14:paraId="3EB3A81C">
            <w:pPr>
              <w:adjustRightInd w:val="0"/>
              <w:snapToGrid w:val="0"/>
              <w:spacing w:before="50" w:line="360" w:lineRule="auto"/>
              <w:jc w:val="center"/>
              <w:rPr>
                <w:rFonts w:ascii="宋体" w:hAnsi="宋体"/>
                <w:color w:val="auto"/>
                <w:szCs w:val="21"/>
              </w:rPr>
            </w:pPr>
            <w:r>
              <w:rPr>
                <w:rFonts w:hint="eastAsia" w:ascii="宋体" w:hAnsi="宋体"/>
                <w:color w:val="auto"/>
                <w:szCs w:val="21"/>
              </w:rPr>
              <w:t>第2.3款</w:t>
            </w:r>
          </w:p>
        </w:tc>
        <w:tc>
          <w:tcPr>
            <w:tcW w:w="2220" w:type="dxa"/>
            <w:noWrap w:val="0"/>
            <w:vAlign w:val="top"/>
          </w:tcPr>
          <w:p w14:paraId="62F10F3B">
            <w:pPr>
              <w:adjustRightInd w:val="0"/>
              <w:snapToGrid w:val="0"/>
              <w:spacing w:before="50" w:line="360" w:lineRule="auto"/>
              <w:jc w:val="center"/>
              <w:rPr>
                <w:rFonts w:hint="eastAsia"/>
                <w:color w:val="auto"/>
              </w:rPr>
            </w:pPr>
          </w:p>
          <w:p w14:paraId="620D9EE2">
            <w:pPr>
              <w:adjustRightInd w:val="0"/>
              <w:snapToGrid w:val="0"/>
              <w:spacing w:before="50" w:line="360" w:lineRule="auto"/>
              <w:jc w:val="center"/>
              <w:rPr>
                <w:color w:val="auto"/>
              </w:rPr>
            </w:pPr>
            <w:r>
              <w:rPr>
                <w:rFonts w:hint="eastAsia"/>
                <w:color w:val="auto"/>
              </w:rPr>
              <w:t>采购代理机构名称、地址、电话、联系人</w:t>
            </w:r>
          </w:p>
        </w:tc>
        <w:tc>
          <w:tcPr>
            <w:tcW w:w="6398" w:type="dxa"/>
            <w:noWrap w:val="0"/>
            <w:vAlign w:val="center"/>
          </w:tcPr>
          <w:p w14:paraId="17DDC808">
            <w:pPr>
              <w:keepNext w:val="0"/>
              <w:keepLines w:val="0"/>
              <w:widowControl/>
              <w:suppressLineNumbers w:val="0"/>
              <w:spacing w:before="0" w:beforeAutospacing="0" w:after="0" w:afterAutospacing="0" w:line="360" w:lineRule="auto"/>
              <w:ind w:right="0"/>
              <w:jc w:val="both"/>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olor w:val="auto"/>
                <w:szCs w:val="21"/>
                <w:lang w:val="en-US" w:eastAsia="zh-CN"/>
              </w:rPr>
              <w:t>采购代理机构：</w:t>
            </w:r>
            <w:r>
              <w:rPr>
                <w:rFonts w:hint="eastAsia" w:ascii="宋体" w:hAnsi="宋体" w:cs="宋体"/>
                <w:i w:val="0"/>
                <w:iCs w:val="0"/>
                <w:caps w:val="0"/>
                <w:color w:val="000000"/>
                <w:spacing w:val="0"/>
                <w:kern w:val="0"/>
                <w:sz w:val="21"/>
                <w:szCs w:val="21"/>
                <w:lang w:val="en-US" w:eastAsia="zh-CN" w:bidi="ar"/>
              </w:rPr>
              <w:t>湖南辰洲项目管理有限公司</w:t>
            </w:r>
          </w:p>
          <w:p w14:paraId="1C1C7E4B">
            <w:pPr>
              <w:keepNext w:val="0"/>
              <w:keepLines w:val="0"/>
              <w:widowControl/>
              <w:suppressLineNumbers w:val="0"/>
              <w:spacing w:before="0" w:beforeAutospacing="0" w:after="0" w:afterAutospacing="0" w:line="360" w:lineRule="auto"/>
              <w:ind w:right="0"/>
              <w:jc w:val="both"/>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地  址：</w:t>
            </w:r>
            <w:r>
              <w:rPr>
                <w:rFonts w:hint="eastAsia" w:ascii="宋体" w:hAnsi="宋体" w:cs="宋体"/>
                <w:i w:val="0"/>
                <w:iCs w:val="0"/>
                <w:caps w:val="0"/>
                <w:color w:val="000000"/>
                <w:spacing w:val="0"/>
                <w:kern w:val="0"/>
                <w:sz w:val="21"/>
                <w:szCs w:val="21"/>
                <w:lang w:val="en-US" w:eastAsia="zh-CN" w:bidi="ar"/>
              </w:rPr>
              <w:t>怀化市鹤城区文化创意产业园区B10栋406室</w:t>
            </w:r>
          </w:p>
          <w:p w14:paraId="22CE78DF">
            <w:pPr>
              <w:keepNext w:val="0"/>
              <w:keepLines w:val="0"/>
              <w:widowControl/>
              <w:suppressLineNumbers w:val="0"/>
              <w:spacing w:before="0" w:beforeAutospacing="0" w:after="0" w:afterAutospacing="0" w:line="360" w:lineRule="auto"/>
              <w:ind w:right="0"/>
              <w:jc w:val="both"/>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电  话：</w:t>
            </w:r>
            <w:r>
              <w:rPr>
                <w:rFonts w:hint="eastAsia" w:ascii="宋体" w:hAnsi="宋体" w:cs="宋体"/>
                <w:i w:val="0"/>
                <w:iCs w:val="0"/>
                <w:caps w:val="0"/>
                <w:color w:val="000000"/>
                <w:spacing w:val="0"/>
                <w:kern w:val="0"/>
                <w:sz w:val="21"/>
                <w:szCs w:val="21"/>
                <w:lang w:val="en-US" w:eastAsia="zh-CN" w:bidi="ar"/>
              </w:rPr>
              <w:t>19372176271</w:t>
            </w:r>
            <w:r>
              <w:rPr>
                <w:rFonts w:hint="eastAsia" w:ascii="宋体" w:hAnsi="宋体" w:eastAsia="宋体" w:cs="宋体"/>
                <w:i w:val="0"/>
                <w:iCs w:val="0"/>
                <w:caps w:val="0"/>
                <w:color w:val="000000"/>
                <w:spacing w:val="0"/>
                <w:kern w:val="0"/>
                <w:sz w:val="21"/>
                <w:szCs w:val="21"/>
                <w:lang w:val="en-US" w:eastAsia="zh-CN" w:bidi="ar"/>
              </w:rPr>
              <w:t xml:space="preserve">  </w:t>
            </w:r>
          </w:p>
          <w:p w14:paraId="10E286DA">
            <w:pPr>
              <w:keepNext w:val="0"/>
              <w:keepLines w:val="0"/>
              <w:widowControl/>
              <w:suppressLineNumbers w:val="0"/>
              <w:spacing w:before="0" w:beforeAutospacing="0" w:after="0" w:afterAutospacing="0" w:line="360" w:lineRule="auto"/>
              <w:ind w:right="0"/>
              <w:jc w:val="both"/>
              <w:rPr>
                <w:rFonts w:ascii="宋体" w:hAnsi="宋体"/>
                <w:color w:val="auto"/>
                <w:szCs w:val="21"/>
              </w:rPr>
            </w:pPr>
            <w:r>
              <w:rPr>
                <w:rFonts w:hint="eastAsia" w:ascii="宋体" w:hAnsi="宋体" w:eastAsia="宋体" w:cs="宋体"/>
                <w:i w:val="0"/>
                <w:iCs w:val="0"/>
                <w:caps w:val="0"/>
                <w:color w:val="000000"/>
                <w:spacing w:val="0"/>
                <w:kern w:val="0"/>
                <w:sz w:val="21"/>
                <w:szCs w:val="21"/>
                <w:lang w:val="en-US" w:eastAsia="zh-CN" w:bidi="ar"/>
              </w:rPr>
              <w:t>联系人：</w:t>
            </w:r>
            <w:r>
              <w:rPr>
                <w:rFonts w:hint="eastAsia" w:ascii="宋体" w:hAnsi="宋体" w:cs="宋体"/>
                <w:i w:val="0"/>
                <w:iCs w:val="0"/>
                <w:caps w:val="0"/>
                <w:color w:val="000000"/>
                <w:spacing w:val="0"/>
                <w:kern w:val="0"/>
                <w:sz w:val="21"/>
                <w:szCs w:val="21"/>
                <w:lang w:val="en-US" w:eastAsia="zh-CN" w:bidi="ar"/>
              </w:rPr>
              <w:t>谢</w:t>
            </w:r>
            <w:r>
              <w:rPr>
                <w:rFonts w:hint="eastAsia" w:ascii="宋体" w:hAnsi="宋体" w:eastAsia="宋体" w:cs="宋体"/>
                <w:i w:val="0"/>
                <w:iCs w:val="0"/>
                <w:caps w:val="0"/>
                <w:color w:val="000000"/>
                <w:spacing w:val="0"/>
                <w:kern w:val="0"/>
                <w:sz w:val="21"/>
                <w:szCs w:val="21"/>
                <w:lang w:val="en-US" w:eastAsia="zh-CN" w:bidi="ar"/>
              </w:rPr>
              <w:t xml:space="preserve">女士  </w:t>
            </w:r>
          </w:p>
        </w:tc>
      </w:tr>
      <w:tr w14:paraId="24202D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tcBorders>
              <w:bottom w:val="single" w:color="auto" w:sz="4" w:space="0"/>
            </w:tcBorders>
            <w:noWrap w:val="0"/>
            <w:vAlign w:val="center"/>
          </w:tcPr>
          <w:p w14:paraId="6393BE0C">
            <w:pPr>
              <w:adjustRightInd w:val="0"/>
              <w:snapToGrid w:val="0"/>
              <w:spacing w:before="50" w:line="360" w:lineRule="auto"/>
              <w:jc w:val="center"/>
              <w:rPr>
                <w:rFonts w:ascii="宋体" w:hAnsi="宋体"/>
                <w:color w:val="auto"/>
                <w:szCs w:val="21"/>
              </w:rPr>
            </w:pPr>
            <w:r>
              <w:rPr>
                <w:rFonts w:hint="eastAsia" w:ascii="宋体" w:hAnsi="宋体"/>
                <w:color w:val="auto"/>
                <w:szCs w:val="21"/>
              </w:rPr>
              <w:t>第3.1款</w:t>
            </w:r>
          </w:p>
        </w:tc>
        <w:tc>
          <w:tcPr>
            <w:tcW w:w="2220" w:type="dxa"/>
            <w:noWrap w:val="0"/>
            <w:vAlign w:val="center"/>
          </w:tcPr>
          <w:p w14:paraId="2D4035AC">
            <w:pPr>
              <w:adjustRightInd w:val="0"/>
              <w:snapToGrid w:val="0"/>
              <w:spacing w:before="50" w:line="360" w:lineRule="auto"/>
              <w:jc w:val="center"/>
              <w:rPr>
                <w:rFonts w:ascii="宋体" w:hAnsi="宋体"/>
                <w:color w:val="auto"/>
                <w:szCs w:val="21"/>
              </w:rPr>
            </w:pPr>
            <w:r>
              <w:rPr>
                <w:rFonts w:hint="eastAsia" w:ascii="宋体" w:hAnsi="宋体"/>
                <w:bCs/>
                <w:color w:val="auto"/>
                <w:szCs w:val="21"/>
              </w:rPr>
              <w:t>供应商</w:t>
            </w:r>
            <w:r>
              <w:rPr>
                <w:rFonts w:hint="eastAsia" w:ascii="宋体" w:hAnsi="宋体"/>
                <w:color w:val="auto"/>
                <w:szCs w:val="21"/>
              </w:rPr>
              <w:t>资格条件</w:t>
            </w:r>
          </w:p>
        </w:tc>
        <w:tc>
          <w:tcPr>
            <w:tcW w:w="6398" w:type="dxa"/>
            <w:noWrap w:val="0"/>
            <w:vAlign w:val="center"/>
          </w:tcPr>
          <w:p w14:paraId="626B6927">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right="0" w:firstLine="420" w:firstLineChars="200"/>
              <w:jc w:val="both"/>
              <w:textAlignment w:val="auto"/>
              <w:rPr>
                <w:rFonts w:hint="eastAsia" w:ascii="宋体" w:hAnsi="宋体" w:eastAsia="宋体" w:cs="宋体"/>
                <w:szCs w:val="21"/>
                <w:highlight w:val="none"/>
                <w:lang w:val="en-US"/>
              </w:rPr>
            </w:pPr>
            <w:r>
              <w:rPr>
                <w:rFonts w:hint="eastAsia" w:ascii="宋体" w:hAnsi="宋体" w:eastAsia="宋体" w:cs="宋体"/>
                <w:kern w:val="2"/>
                <w:sz w:val="21"/>
                <w:szCs w:val="21"/>
                <w:highlight w:val="none"/>
                <w:lang w:val="en-US" w:eastAsia="zh-CN" w:bidi="ar"/>
              </w:rPr>
              <w:t>1、供应商的基本资格条件：供应商必须是在中华人民共和国境内注册登记的法人、其他组织或者自然人，且应当符合《政府采购法》第二十二条第一款的规定。</w:t>
            </w:r>
          </w:p>
          <w:p w14:paraId="60643226">
            <w:pPr>
              <w:pStyle w:val="21"/>
              <w:spacing w:line="360" w:lineRule="auto"/>
              <w:ind w:left="0" w:leftChars="0" w:firstLine="420" w:firstLineChars="200"/>
              <w:rPr>
                <w:rFonts w:hint="eastAsia" w:ascii="宋体" w:hAnsi="宋体" w:eastAsia="宋体" w:cs="宋体"/>
                <w:kern w:val="2"/>
                <w:sz w:val="21"/>
                <w:szCs w:val="21"/>
                <w:highlight w:val="none"/>
                <w:lang w:val="en-US" w:eastAsia="zh-CN" w:bidi="ar"/>
              </w:rPr>
            </w:pPr>
            <w:r>
              <w:rPr>
                <w:rFonts w:hint="eastAsia" w:cs="宋体"/>
                <w:b/>
                <w:bCs/>
                <w:kern w:val="2"/>
                <w:sz w:val="21"/>
                <w:szCs w:val="21"/>
                <w:highlight w:val="none"/>
                <w:lang w:val="en-US" w:eastAsia="zh-CN" w:bidi="ar"/>
              </w:rPr>
              <w:t>2</w:t>
            </w:r>
            <w:r>
              <w:rPr>
                <w:rFonts w:hint="eastAsia" w:ascii="宋体" w:hAnsi="宋体" w:cs="宋体"/>
                <w:b/>
                <w:bCs/>
                <w:kern w:val="2"/>
                <w:sz w:val="21"/>
                <w:szCs w:val="21"/>
                <w:highlight w:val="none"/>
                <w:lang w:val="en-US" w:eastAsia="zh-CN" w:bidi="ar"/>
              </w:rPr>
              <w:t>、</w:t>
            </w:r>
            <w:r>
              <w:rPr>
                <w:rFonts w:hint="eastAsia" w:ascii="宋体" w:hAnsi="宋体" w:eastAsia="宋体" w:cs="宋体"/>
                <w:b/>
                <w:bCs/>
                <w:kern w:val="2"/>
                <w:sz w:val="21"/>
                <w:szCs w:val="21"/>
                <w:highlight w:val="none"/>
                <w:lang w:val="en-US" w:eastAsia="zh-CN" w:bidi="ar"/>
              </w:rPr>
              <w:t>采购项目的特定资格条件</w:t>
            </w:r>
            <w:r>
              <w:rPr>
                <w:rFonts w:hint="eastAsia" w:ascii="宋体" w:hAnsi="宋体" w:eastAsia="宋体" w:cs="宋体"/>
                <w:kern w:val="2"/>
                <w:sz w:val="21"/>
                <w:szCs w:val="21"/>
                <w:highlight w:val="none"/>
                <w:lang w:val="en-US" w:eastAsia="zh-CN" w:bidi="ar"/>
              </w:rPr>
              <w:t>：</w:t>
            </w:r>
          </w:p>
          <w:p w14:paraId="2CEFF6AF">
            <w:pPr>
              <w:spacing w:line="360" w:lineRule="auto"/>
              <w:ind w:firstLine="525" w:firstLineChars="250"/>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（1）湖南省外企业须按照湘建建[2015]190号文件要求办理省外入湘企业基本情况登记（以“湖南省住房和城乡建设网”查询为准）或具有入湘施工登记证（处于有效期内）；</w:t>
            </w:r>
          </w:p>
          <w:p w14:paraId="443B3749">
            <w:pPr>
              <w:spacing w:line="360" w:lineRule="auto"/>
              <w:ind w:firstLine="525" w:firstLineChars="250"/>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（2）具备建设行政主管部门颁发的电力工程施工总承包叁级及以上资质或输变电工程专业承包叁级及以上资质，同时具备国家电力监管部门颁发的承装类、承修类、承试类</w:t>
            </w:r>
            <w:r>
              <w:rPr>
                <w:rFonts w:hint="eastAsia" w:ascii="宋体" w:hAnsi="宋体" w:cs="宋体"/>
                <w:kern w:val="2"/>
                <w:sz w:val="21"/>
                <w:szCs w:val="21"/>
                <w:highlight w:val="none"/>
                <w:lang w:val="en-US" w:eastAsia="zh-CN" w:bidi="ar"/>
              </w:rPr>
              <w:t>五</w:t>
            </w:r>
            <w:r>
              <w:rPr>
                <w:rFonts w:hint="eastAsia" w:ascii="宋体" w:hAnsi="宋体" w:eastAsia="宋体" w:cs="宋体"/>
                <w:kern w:val="2"/>
                <w:sz w:val="21"/>
                <w:szCs w:val="21"/>
                <w:highlight w:val="none"/>
                <w:lang w:val="en-US" w:eastAsia="zh-CN" w:bidi="ar"/>
              </w:rPr>
              <w:t>级及以上《承装（修、试）电力设施许可证》，</w:t>
            </w:r>
            <w:r>
              <w:rPr>
                <w:rFonts w:hint="eastAsia" w:ascii="宋体" w:hAnsi="宋体" w:cs="宋体"/>
                <w:kern w:val="2"/>
                <w:sz w:val="21"/>
                <w:szCs w:val="21"/>
                <w:highlight w:val="none"/>
                <w:lang w:val="en-US" w:eastAsia="zh-CN" w:bidi="ar"/>
              </w:rPr>
              <w:t>且</w:t>
            </w:r>
            <w:r>
              <w:rPr>
                <w:rFonts w:hint="eastAsia" w:ascii="宋体" w:hAnsi="宋体" w:eastAsia="宋体" w:cs="宋体"/>
                <w:kern w:val="2"/>
                <w:sz w:val="21"/>
                <w:szCs w:val="21"/>
                <w:highlight w:val="none"/>
                <w:lang w:val="en-US" w:eastAsia="zh-CN" w:bidi="ar"/>
              </w:rPr>
              <w:t>安全生产许可证处于有效期。</w:t>
            </w:r>
          </w:p>
          <w:p w14:paraId="01AD09A9">
            <w:pPr>
              <w:spacing w:line="360" w:lineRule="auto"/>
              <w:ind w:firstLine="525" w:firstLineChars="250"/>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（3）拟任项目经理具备电力工程或机电工程专业二级及以上注册建造师执业资格，具备有效的B类安全生产考核合格证书，且无在建工程（提供</w:t>
            </w:r>
            <w:r>
              <w:rPr>
                <w:rFonts w:hint="eastAsia" w:ascii="宋体" w:hAnsi="宋体" w:cs="宋体"/>
                <w:kern w:val="2"/>
                <w:sz w:val="21"/>
                <w:szCs w:val="21"/>
                <w:highlight w:val="none"/>
                <w:lang w:val="en-US" w:eastAsia="zh-CN" w:bidi="ar"/>
              </w:rPr>
              <w:t>无在建</w:t>
            </w:r>
            <w:r>
              <w:rPr>
                <w:rFonts w:hint="eastAsia" w:ascii="宋体" w:hAnsi="宋体" w:eastAsia="宋体" w:cs="宋体"/>
                <w:kern w:val="2"/>
                <w:sz w:val="21"/>
                <w:szCs w:val="21"/>
                <w:highlight w:val="none"/>
                <w:lang w:val="en-US" w:eastAsia="zh-CN" w:bidi="ar"/>
              </w:rPr>
              <w:t>承诺书，格式自拟）。</w:t>
            </w:r>
          </w:p>
          <w:p w14:paraId="35211D6E">
            <w:pPr>
              <w:spacing w:line="360" w:lineRule="auto"/>
              <w:ind w:firstLine="525" w:firstLineChars="250"/>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（4）项目其他关键岗位人员，可承诺（格式自拟）中标后施工项目部关键岗位人员按《湖南省建设工程施工项目部和现场监理部关键岗位人员配备管理办法》（湘建建〔2020〕208号）要求配备。</w:t>
            </w:r>
          </w:p>
          <w:p w14:paraId="56DBC680">
            <w:pPr>
              <w:keepNext w:val="0"/>
              <w:keepLines w:val="0"/>
              <w:pageBreakBefore w:val="0"/>
              <w:widowControl w:val="0"/>
              <w:numPr>
                <w:ilvl w:val="0"/>
                <w:numId w:val="0"/>
              </w:numPr>
              <w:suppressLineNumbers w:val="0"/>
              <w:kinsoku/>
              <w:wordWrap/>
              <w:overflowPunct/>
              <w:topLinePunct w:val="0"/>
              <w:bidi w:val="0"/>
              <w:adjustRightInd w:val="0"/>
              <w:snapToGrid w:val="0"/>
              <w:spacing w:before="0" w:beforeAutospacing="0" w:after="0" w:afterAutospacing="0" w:line="360" w:lineRule="auto"/>
              <w:ind w:leftChars="200" w:right="0" w:rightChars="0"/>
              <w:jc w:val="both"/>
              <w:textAlignment w:val="auto"/>
              <w:rPr>
                <w:rFonts w:hint="eastAsia" w:ascii="宋体" w:hAnsi="宋体" w:eastAsia="宋体" w:cs="宋体"/>
                <w:szCs w:val="21"/>
                <w:highlight w:val="none"/>
                <w:lang w:val="en-US"/>
              </w:rPr>
            </w:pPr>
            <w:r>
              <w:rPr>
                <w:rFonts w:hint="eastAsia" w:ascii="宋体" w:hAnsi="宋体" w:cs="宋体"/>
                <w:kern w:val="2"/>
                <w:sz w:val="21"/>
                <w:szCs w:val="21"/>
                <w:highlight w:val="none"/>
                <w:lang w:val="en-US" w:eastAsia="zh-CN" w:bidi="ar"/>
              </w:rPr>
              <w:t>3、</w:t>
            </w:r>
            <w:r>
              <w:rPr>
                <w:rFonts w:hint="eastAsia" w:ascii="宋体" w:hAnsi="宋体" w:eastAsia="宋体" w:cs="宋体"/>
                <w:kern w:val="2"/>
                <w:sz w:val="21"/>
                <w:szCs w:val="21"/>
                <w:highlight w:val="none"/>
                <w:lang w:val="en-US" w:eastAsia="zh-CN" w:bidi="ar"/>
              </w:rPr>
              <w:t>单位负责人为同一人或者存在直接控股、管理关系的不同供应商，不得参加同一合同项下的政府采购活动。</w:t>
            </w:r>
          </w:p>
          <w:p w14:paraId="13D220E5">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20" w:firstLineChars="200"/>
              <w:jc w:val="both"/>
              <w:textAlignment w:val="auto"/>
              <w:rPr>
                <w:rFonts w:hint="eastAsia" w:ascii="宋体" w:hAnsi="宋体" w:eastAsia="宋体" w:cs="宋体"/>
                <w:szCs w:val="21"/>
                <w:highlight w:val="none"/>
                <w:lang w:val="en-US"/>
              </w:rPr>
            </w:pPr>
            <w:r>
              <w:rPr>
                <w:rFonts w:hint="eastAsia" w:ascii="宋体" w:hAnsi="宋体" w:cs="宋体"/>
                <w:kern w:val="2"/>
                <w:sz w:val="21"/>
                <w:szCs w:val="21"/>
                <w:highlight w:val="none"/>
                <w:lang w:val="en-US" w:eastAsia="zh-CN" w:bidi="ar"/>
              </w:rPr>
              <w:t>4</w:t>
            </w:r>
            <w:r>
              <w:rPr>
                <w:rFonts w:hint="eastAsia" w:ascii="宋体" w:hAnsi="宋体" w:eastAsia="宋体" w:cs="宋体"/>
                <w:kern w:val="2"/>
                <w:sz w:val="21"/>
                <w:szCs w:val="21"/>
                <w:highlight w:val="none"/>
                <w:lang w:val="en-US" w:eastAsia="zh-CN" w:bidi="ar"/>
              </w:rPr>
              <w:t>、为本采购项目提供整体设计、规范编制或者项目管理、监理、检测等服务的，不得再参加此项目的其他采购活动。</w:t>
            </w:r>
          </w:p>
          <w:p w14:paraId="1C5CAB51">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20" w:firstLineChars="200"/>
              <w:jc w:val="both"/>
              <w:textAlignment w:val="auto"/>
              <w:rPr>
                <w:rFonts w:hint="eastAsia" w:ascii="宋体" w:hAnsi="宋体" w:eastAsia="宋体" w:cs="宋体"/>
                <w:szCs w:val="21"/>
                <w:highlight w:val="none"/>
                <w:lang w:val="en-US"/>
              </w:rPr>
            </w:pPr>
            <w:r>
              <w:rPr>
                <w:rFonts w:hint="eastAsia" w:ascii="宋体" w:hAnsi="宋体" w:cs="宋体"/>
                <w:kern w:val="2"/>
                <w:sz w:val="21"/>
                <w:szCs w:val="21"/>
                <w:highlight w:val="none"/>
                <w:lang w:val="en-US" w:eastAsia="zh-CN" w:bidi="ar"/>
              </w:rPr>
              <w:t>5</w:t>
            </w:r>
            <w:r>
              <w:rPr>
                <w:rFonts w:hint="eastAsia" w:ascii="宋体" w:hAnsi="宋体" w:eastAsia="宋体" w:cs="宋体"/>
                <w:kern w:val="2"/>
                <w:sz w:val="21"/>
                <w:szCs w:val="21"/>
                <w:highlight w:val="none"/>
                <w:lang w:val="en-US" w:eastAsia="zh-CN" w:bidi="ar"/>
              </w:rPr>
              <w:t>、列入失信被执行人、重大税收违法失信主体名单，列入政府采购严重违法失信行为记录名单的，拒绝其参与政府采购活动。</w:t>
            </w:r>
          </w:p>
          <w:p w14:paraId="032BDDDD">
            <w:pPr>
              <w:keepNext w:val="0"/>
              <w:keepLines w:val="0"/>
              <w:pageBreakBefore w:val="0"/>
              <w:widowControl w:val="0"/>
              <w:suppressLineNumbers w:val="0"/>
              <w:kinsoku/>
              <w:wordWrap/>
              <w:overflowPunct/>
              <w:topLinePunct w:val="0"/>
              <w:bidi w:val="0"/>
              <w:adjustRightInd w:val="0"/>
              <w:snapToGrid w:val="0"/>
              <w:spacing w:before="50" w:beforeAutospacing="0" w:after="0" w:afterAutospacing="0" w:line="360" w:lineRule="auto"/>
              <w:ind w:left="0" w:right="0" w:firstLine="420" w:firstLineChars="200"/>
              <w:jc w:val="both"/>
              <w:textAlignment w:val="auto"/>
              <w:rPr>
                <w:rFonts w:ascii="宋体" w:hAnsi="宋体"/>
                <w:color w:val="auto"/>
                <w:szCs w:val="21"/>
              </w:rPr>
            </w:pPr>
            <w:r>
              <w:rPr>
                <w:rFonts w:hint="eastAsia" w:ascii="宋体" w:hAnsi="宋体" w:cs="宋体"/>
                <w:kern w:val="2"/>
                <w:sz w:val="21"/>
                <w:szCs w:val="21"/>
                <w:highlight w:val="none"/>
                <w:lang w:val="en-US" w:eastAsia="zh-CN" w:bidi="ar"/>
              </w:rPr>
              <w:t>6</w:t>
            </w:r>
            <w:r>
              <w:rPr>
                <w:rFonts w:hint="eastAsia" w:ascii="宋体" w:hAnsi="宋体" w:eastAsia="宋体" w:cs="宋体"/>
                <w:kern w:val="2"/>
                <w:sz w:val="21"/>
                <w:szCs w:val="21"/>
                <w:highlight w:val="none"/>
                <w:lang w:val="en-US" w:eastAsia="zh-CN" w:bidi="ar"/>
              </w:rPr>
              <w:t>、联合体响应。本次采购</w:t>
            </w:r>
            <w:r>
              <w:rPr>
                <w:rFonts w:hint="eastAsia" w:ascii="宋体" w:hAnsi="宋体" w:cs="宋体"/>
                <w:kern w:val="2"/>
                <w:sz w:val="21"/>
                <w:szCs w:val="21"/>
                <w:highlight w:val="none"/>
                <w:u w:val="single"/>
                <w:lang w:val="en-US" w:eastAsia="zh-CN" w:bidi="ar"/>
              </w:rPr>
              <w:t xml:space="preserve">   不</w:t>
            </w:r>
            <w:r>
              <w:rPr>
                <w:rFonts w:hint="eastAsia" w:ascii="宋体" w:hAnsi="宋体" w:eastAsia="宋体" w:cs="宋体"/>
                <w:kern w:val="2"/>
                <w:sz w:val="21"/>
                <w:szCs w:val="21"/>
                <w:highlight w:val="none"/>
                <w:u w:val="single"/>
                <w:lang w:val="en-US" w:eastAsia="zh-CN" w:bidi="ar"/>
              </w:rPr>
              <w:t>接受</w:t>
            </w:r>
            <w:r>
              <w:rPr>
                <w:rFonts w:hint="eastAsia" w:ascii="宋体" w:hAnsi="宋体" w:cs="宋体"/>
                <w:kern w:val="2"/>
                <w:sz w:val="21"/>
                <w:szCs w:val="21"/>
                <w:highlight w:val="none"/>
                <w:u w:val="single"/>
                <w:lang w:val="en-US" w:eastAsia="zh-CN" w:bidi="ar"/>
              </w:rPr>
              <w:t xml:space="preserve">  </w:t>
            </w:r>
            <w:r>
              <w:rPr>
                <w:rFonts w:hint="eastAsia" w:ascii="宋体" w:hAnsi="宋体" w:eastAsia="宋体" w:cs="宋体"/>
                <w:kern w:val="2"/>
                <w:sz w:val="21"/>
                <w:szCs w:val="21"/>
                <w:highlight w:val="none"/>
                <w:u w:val="single"/>
                <w:lang w:val="en-US" w:eastAsia="zh-CN" w:bidi="ar"/>
              </w:rPr>
              <w:t xml:space="preserve"> </w:t>
            </w:r>
            <w:r>
              <w:rPr>
                <w:rFonts w:hint="eastAsia" w:ascii="宋体" w:hAnsi="宋体" w:eastAsia="宋体" w:cs="宋体"/>
                <w:kern w:val="2"/>
                <w:sz w:val="21"/>
                <w:szCs w:val="21"/>
                <w:highlight w:val="none"/>
                <w:lang w:val="en-US" w:eastAsia="zh-CN" w:bidi="ar"/>
              </w:rPr>
              <w:t>联合体响应。</w:t>
            </w:r>
          </w:p>
        </w:tc>
      </w:tr>
      <w:tr w14:paraId="374E7D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tcBorders>
              <w:bottom w:val="single" w:color="auto" w:sz="4" w:space="0"/>
            </w:tcBorders>
            <w:noWrap w:val="0"/>
            <w:vAlign w:val="center"/>
          </w:tcPr>
          <w:p w14:paraId="0A9A15E3">
            <w:pPr>
              <w:adjustRightInd w:val="0"/>
              <w:snapToGrid w:val="0"/>
              <w:spacing w:before="50" w:line="360" w:lineRule="auto"/>
              <w:jc w:val="center"/>
              <w:rPr>
                <w:rFonts w:ascii="宋体" w:hAnsi="宋体"/>
                <w:color w:val="auto"/>
                <w:szCs w:val="21"/>
              </w:rPr>
            </w:pPr>
            <w:r>
              <w:rPr>
                <w:rFonts w:hint="eastAsia" w:ascii="宋体" w:hAnsi="宋体"/>
                <w:color w:val="auto"/>
                <w:szCs w:val="21"/>
              </w:rPr>
              <w:t>第3.2款</w:t>
            </w:r>
          </w:p>
        </w:tc>
        <w:tc>
          <w:tcPr>
            <w:tcW w:w="2220" w:type="dxa"/>
            <w:noWrap w:val="0"/>
            <w:vAlign w:val="center"/>
          </w:tcPr>
          <w:p w14:paraId="625863F1">
            <w:pPr>
              <w:adjustRightInd w:val="0"/>
              <w:snapToGrid w:val="0"/>
              <w:spacing w:before="50" w:line="360" w:lineRule="auto"/>
              <w:jc w:val="center"/>
              <w:rPr>
                <w:rFonts w:ascii="宋体" w:hAnsi="宋体"/>
                <w:color w:val="auto"/>
                <w:szCs w:val="21"/>
              </w:rPr>
            </w:pPr>
            <w:r>
              <w:rPr>
                <w:rFonts w:hint="eastAsia" w:ascii="宋体" w:hAnsi="宋体"/>
                <w:color w:val="auto"/>
                <w:szCs w:val="21"/>
              </w:rPr>
              <w:t>是否接受联合体形式</w:t>
            </w:r>
          </w:p>
        </w:tc>
        <w:tc>
          <w:tcPr>
            <w:tcW w:w="6398" w:type="dxa"/>
            <w:noWrap w:val="0"/>
            <w:vAlign w:val="center"/>
          </w:tcPr>
          <w:p w14:paraId="6BC92E8A">
            <w:pPr>
              <w:adjustRightInd w:val="0"/>
              <w:snapToGrid w:val="0"/>
              <w:spacing w:before="50" w:line="360" w:lineRule="auto"/>
              <w:rPr>
                <w:rFonts w:ascii="宋体" w:hAnsi="宋体"/>
                <w:color w:val="auto"/>
                <w:szCs w:val="21"/>
              </w:rPr>
            </w:pPr>
            <w:r>
              <w:rPr>
                <w:rFonts w:hint="eastAsia" w:ascii="宋体" w:hAnsi="宋体"/>
                <w:color w:val="auto"/>
                <w:szCs w:val="21"/>
                <w:lang w:val="en-US" w:eastAsia="zh-CN"/>
              </w:rPr>
              <w:t>不</w:t>
            </w:r>
            <w:r>
              <w:rPr>
                <w:rFonts w:hint="eastAsia" w:ascii="宋体" w:hAnsi="宋体"/>
                <w:color w:val="auto"/>
                <w:szCs w:val="21"/>
              </w:rPr>
              <w:t>接受</w:t>
            </w:r>
          </w:p>
        </w:tc>
      </w:tr>
      <w:tr w14:paraId="1069FC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2F6A79A5">
            <w:pPr>
              <w:adjustRightInd w:val="0"/>
              <w:snapToGrid w:val="0"/>
              <w:spacing w:before="50" w:line="360" w:lineRule="auto"/>
              <w:jc w:val="center"/>
              <w:rPr>
                <w:rFonts w:ascii="宋体" w:hAnsi="宋体"/>
                <w:color w:val="auto"/>
                <w:szCs w:val="21"/>
              </w:rPr>
            </w:pPr>
            <w:r>
              <w:rPr>
                <w:rFonts w:hint="eastAsia" w:ascii="宋体" w:hAnsi="宋体"/>
                <w:color w:val="auto"/>
                <w:szCs w:val="21"/>
              </w:rPr>
              <w:t>第5.1款</w:t>
            </w:r>
          </w:p>
        </w:tc>
        <w:tc>
          <w:tcPr>
            <w:tcW w:w="2220" w:type="dxa"/>
            <w:noWrap w:val="0"/>
            <w:vAlign w:val="center"/>
          </w:tcPr>
          <w:p w14:paraId="0B4F64A7">
            <w:pPr>
              <w:adjustRightInd w:val="0"/>
              <w:snapToGrid w:val="0"/>
              <w:spacing w:before="50" w:line="360" w:lineRule="auto"/>
              <w:jc w:val="center"/>
              <w:rPr>
                <w:rFonts w:hint="eastAsia" w:ascii="宋体" w:hAnsi="宋体" w:eastAsia="宋体"/>
                <w:color w:val="auto"/>
                <w:szCs w:val="21"/>
                <w:lang w:eastAsia="zh-CN"/>
              </w:rPr>
            </w:pPr>
            <w:r>
              <w:rPr>
                <w:rFonts w:hint="eastAsia" w:ascii="宋体" w:hAnsi="宋体" w:eastAsia="宋体"/>
                <w:color w:val="auto"/>
                <w:szCs w:val="21"/>
                <w:lang w:eastAsia="zh-CN"/>
              </w:rPr>
              <w:t>接收投诉渠道</w:t>
            </w:r>
          </w:p>
        </w:tc>
        <w:tc>
          <w:tcPr>
            <w:tcW w:w="6398" w:type="dxa"/>
            <w:noWrap w:val="0"/>
            <w:vAlign w:val="center"/>
          </w:tcPr>
          <w:p w14:paraId="1A5AFE2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right="0"/>
              <w:jc w:val="left"/>
              <w:textAlignment w:val="auto"/>
              <w:rPr>
                <w:rFonts w:hint="eastAsia" w:ascii="宋体" w:hAnsi="宋体"/>
                <w:color w:val="auto"/>
                <w:szCs w:val="21"/>
                <w:highlight w:val="none"/>
                <w:u w:val="none"/>
              </w:rPr>
            </w:pPr>
            <w:r>
              <w:rPr>
                <w:rFonts w:hint="eastAsia" w:ascii="宋体" w:hAnsi="宋体"/>
                <w:color w:val="auto"/>
                <w:szCs w:val="21"/>
                <w:highlight w:val="none"/>
                <w:u w:val="none"/>
                <w:lang w:val="en-US" w:eastAsia="zh-CN"/>
              </w:rPr>
              <w:t>接收单位：</w:t>
            </w:r>
            <w:r>
              <w:rPr>
                <w:rFonts w:hint="eastAsia" w:ascii="宋体" w:hAnsi="宋体"/>
                <w:color w:val="auto"/>
                <w:szCs w:val="21"/>
                <w:highlight w:val="none"/>
                <w:u w:val="none"/>
              </w:rPr>
              <w:t>怀化市鹤城区城市建设投资有限公司纪检监察室</w:t>
            </w:r>
          </w:p>
          <w:p w14:paraId="6EE21D70">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right="0"/>
              <w:jc w:val="left"/>
              <w:textAlignment w:val="auto"/>
              <w:rPr>
                <w:rFonts w:hint="default" w:ascii="宋体" w:hAnsi="宋体" w:eastAsia="宋体"/>
                <w:color w:val="auto"/>
                <w:szCs w:val="21"/>
                <w:highlight w:val="none"/>
                <w:u w:val="none"/>
                <w:lang w:val="en-US" w:eastAsia="zh-CN"/>
              </w:rPr>
            </w:pPr>
            <w:r>
              <w:rPr>
                <w:rFonts w:hint="eastAsia" w:ascii="宋体" w:hAnsi="宋体"/>
                <w:color w:val="auto"/>
                <w:szCs w:val="21"/>
                <w:highlight w:val="none"/>
                <w:u w:val="none"/>
              </w:rPr>
              <w:t>联系人：</w:t>
            </w:r>
            <w:r>
              <w:rPr>
                <w:rFonts w:hint="eastAsia" w:ascii="宋体" w:hAnsi="宋体"/>
                <w:color w:val="auto"/>
                <w:szCs w:val="21"/>
                <w:highlight w:val="none"/>
                <w:u w:val="none"/>
                <w:lang w:val="en-US" w:eastAsia="zh-CN"/>
              </w:rPr>
              <w:t>吴女士</w:t>
            </w:r>
          </w:p>
          <w:p w14:paraId="2F9BA2E3">
            <w:pPr>
              <w:adjustRightInd w:val="0"/>
              <w:snapToGrid w:val="0"/>
              <w:spacing w:before="50" w:line="360" w:lineRule="auto"/>
              <w:rPr>
                <w:rFonts w:hint="default" w:ascii="宋体" w:hAnsi="宋体" w:eastAsia="宋体"/>
                <w:color w:val="auto"/>
                <w:szCs w:val="21"/>
                <w:lang w:val="en-US" w:eastAsia="zh-CN"/>
              </w:rPr>
            </w:pPr>
            <w:r>
              <w:rPr>
                <w:rFonts w:hint="eastAsia" w:ascii="宋体" w:hAnsi="宋体"/>
                <w:color w:val="auto"/>
                <w:szCs w:val="21"/>
                <w:highlight w:val="none"/>
                <w:u w:val="none"/>
                <w:lang w:val="en-US" w:eastAsia="zh-CN"/>
              </w:rPr>
              <w:t>联系</w:t>
            </w:r>
            <w:r>
              <w:rPr>
                <w:rFonts w:hint="eastAsia" w:ascii="宋体" w:hAnsi="宋体"/>
                <w:color w:val="auto"/>
                <w:szCs w:val="21"/>
                <w:highlight w:val="none"/>
                <w:u w:val="none"/>
              </w:rPr>
              <w:t>电话：</w:t>
            </w:r>
            <w:r>
              <w:rPr>
                <w:rFonts w:hint="eastAsia" w:ascii="宋体" w:hAnsi="宋体"/>
                <w:color w:val="auto"/>
                <w:szCs w:val="21"/>
                <w:highlight w:val="none"/>
                <w:u w:val="none"/>
                <w:lang w:val="en-US" w:eastAsia="zh-CN"/>
              </w:rPr>
              <w:t>13349653168</w:t>
            </w:r>
          </w:p>
        </w:tc>
      </w:tr>
      <w:tr w14:paraId="1FA4EA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0046" w:type="dxa"/>
            <w:gridSpan w:val="3"/>
            <w:noWrap w:val="0"/>
            <w:vAlign w:val="center"/>
          </w:tcPr>
          <w:p w14:paraId="04A27DCB">
            <w:pPr>
              <w:adjustRightInd w:val="0"/>
              <w:snapToGrid w:val="0"/>
              <w:spacing w:before="50" w:line="360" w:lineRule="auto"/>
              <w:rPr>
                <w:rFonts w:ascii="宋体" w:hAnsi="宋体"/>
                <w:b/>
                <w:color w:val="auto"/>
                <w:szCs w:val="21"/>
              </w:rPr>
            </w:pPr>
            <w:r>
              <w:rPr>
                <w:rFonts w:hint="eastAsia" w:ascii="宋体" w:hAnsi="宋体"/>
                <w:b/>
                <w:color w:val="auto"/>
                <w:szCs w:val="21"/>
              </w:rPr>
              <w:t>二、</w:t>
            </w:r>
            <w:r>
              <w:rPr>
                <w:rFonts w:hint="eastAsia" w:ascii="宋体" w:hAnsi="宋体"/>
                <w:b/>
                <w:color w:val="auto"/>
                <w:szCs w:val="21"/>
                <w:lang w:eastAsia="zh-CN"/>
              </w:rPr>
              <w:t>磋商</w:t>
            </w:r>
            <w:r>
              <w:rPr>
                <w:rFonts w:hint="eastAsia" w:ascii="宋体" w:hAnsi="宋体"/>
                <w:b/>
                <w:color w:val="auto"/>
                <w:szCs w:val="21"/>
              </w:rPr>
              <w:t>文件</w:t>
            </w:r>
          </w:p>
        </w:tc>
      </w:tr>
      <w:tr w14:paraId="71ECCD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36A04811">
            <w:pPr>
              <w:adjustRightInd w:val="0"/>
              <w:snapToGrid w:val="0"/>
              <w:spacing w:before="50" w:line="360" w:lineRule="auto"/>
              <w:jc w:val="center"/>
              <w:rPr>
                <w:rFonts w:ascii="宋体" w:hAnsi="宋体"/>
                <w:color w:val="auto"/>
                <w:szCs w:val="21"/>
              </w:rPr>
            </w:pPr>
            <w:r>
              <w:rPr>
                <w:rFonts w:hint="eastAsia" w:ascii="宋体" w:hAnsi="宋体"/>
                <w:color w:val="auto"/>
                <w:szCs w:val="21"/>
              </w:rPr>
              <w:t>第6.3款</w:t>
            </w:r>
          </w:p>
        </w:tc>
        <w:tc>
          <w:tcPr>
            <w:tcW w:w="2220" w:type="dxa"/>
            <w:noWrap w:val="0"/>
            <w:vAlign w:val="center"/>
          </w:tcPr>
          <w:p w14:paraId="09C97A40">
            <w:pPr>
              <w:adjustRightInd w:val="0"/>
              <w:snapToGrid w:val="0"/>
              <w:spacing w:before="50" w:line="360" w:lineRule="auto"/>
              <w:jc w:val="center"/>
              <w:rPr>
                <w:rFonts w:ascii="宋体" w:hAnsi="宋体"/>
                <w:color w:val="auto"/>
                <w:szCs w:val="21"/>
              </w:rPr>
            </w:pPr>
            <w:r>
              <w:rPr>
                <w:rFonts w:hint="eastAsia" w:ascii="宋体" w:hAnsi="宋体"/>
                <w:bCs/>
                <w:color w:val="auto"/>
                <w:szCs w:val="21"/>
                <w:lang w:eastAsia="zh-CN"/>
              </w:rPr>
              <w:t>磋商</w:t>
            </w:r>
            <w:r>
              <w:rPr>
                <w:rFonts w:hint="eastAsia" w:ascii="宋体" w:hAnsi="宋体"/>
                <w:bCs/>
                <w:color w:val="auto"/>
                <w:szCs w:val="21"/>
              </w:rPr>
              <w:t>文件的实质性变动内容</w:t>
            </w:r>
          </w:p>
        </w:tc>
        <w:tc>
          <w:tcPr>
            <w:tcW w:w="6398" w:type="dxa"/>
            <w:noWrap w:val="0"/>
            <w:vAlign w:val="center"/>
          </w:tcPr>
          <w:p w14:paraId="25513A33">
            <w:pPr>
              <w:adjustRightInd w:val="0"/>
              <w:snapToGrid w:val="0"/>
              <w:spacing w:before="50" w:line="360" w:lineRule="auto"/>
              <w:rPr>
                <w:rFonts w:hint="eastAsia" w:ascii="宋体" w:hAnsi="宋体" w:eastAsia="宋体"/>
                <w:color w:val="auto"/>
                <w:szCs w:val="21"/>
                <w:lang w:eastAsia="zh-CN"/>
              </w:rPr>
            </w:pPr>
            <w:r>
              <w:rPr>
                <w:rFonts w:hint="eastAsia"/>
                <w:color w:val="auto"/>
                <w:szCs w:val="21"/>
              </w:rPr>
              <w:t>采购需求</w:t>
            </w:r>
            <w:r>
              <w:rPr>
                <w:rFonts w:hint="eastAsia" w:hAnsi="宋体"/>
                <w:color w:val="auto"/>
                <w:kern w:val="0"/>
              </w:rPr>
              <w:t>中的技术、服务要求以及合同</w:t>
            </w:r>
            <w:r>
              <w:rPr>
                <w:rFonts w:hint="eastAsia" w:hAnsi="宋体"/>
                <w:color w:val="auto"/>
                <w:kern w:val="0"/>
                <w:lang w:eastAsia="zh-CN"/>
              </w:rPr>
              <w:t>草案</w:t>
            </w:r>
            <w:r>
              <w:rPr>
                <w:rFonts w:hint="eastAsia" w:hAnsi="宋体"/>
                <w:color w:val="auto"/>
                <w:kern w:val="0"/>
              </w:rPr>
              <w:t>条款</w:t>
            </w:r>
            <w:r>
              <w:rPr>
                <w:rFonts w:hint="eastAsia" w:hAnsi="宋体"/>
                <w:color w:val="auto"/>
                <w:kern w:val="0"/>
                <w:lang w:eastAsia="zh-CN"/>
              </w:rPr>
              <w:t>。</w:t>
            </w:r>
          </w:p>
        </w:tc>
      </w:tr>
      <w:tr w14:paraId="1C409E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0046" w:type="dxa"/>
            <w:gridSpan w:val="3"/>
            <w:noWrap w:val="0"/>
            <w:vAlign w:val="center"/>
          </w:tcPr>
          <w:p w14:paraId="0A410B97">
            <w:pPr>
              <w:adjustRightInd w:val="0"/>
              <w:snapToGrid w:val="0"/>
              <w:spacing w:before="50" w:line="360" w:lineRule="auto"/>
              <w:rPr>
                <w:rFonts w:ascii="宋体" w:hAnsi="宋体"/>
                <w:color w:val="auto"/>
                <w:szCs w:val="21"/>
              </w:rPr>
            </w:pPr>
            <w:r>
              <w:rPr>
                <w:rFonts w:hint="eastAsia" w:ascii="宋体" w:hAnsi="宋体"/>
                <w:b/>
                <w:color w:val="auto"/>
                <w:szCs w:val="21"/>
              </w:rPr>
              <w:t>三、响应文件的编写</w:t>
            </w:r>
          </w:p>
        </w:tc>
      </w:tr>
      <w:tr w14:paraId="176FD1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3" w:hRule="atLeast"/>
          <w:tblHeader/>
          <w:jc w:val="center"/>
        </w:trPr>
        <w:tc>
          <w:tcPr>
            <w:tcW w:w="1428" w:type="dxa"/>
            <w:noWrap w:val="0"/>
            <w:vAlign w:val="center"/>
          </w:tcPr>
          <w:p w14:paraId="2E20C9D8">
            <w:pPr>
              <w:adjustRightInd w:val="0"/>
              <w:snapToGrid w:val="0"/>
              <w:spacing w:before="50" w:line="360" w:lineRule="auto"/>
              <w:jc w:val="center"/>
              <w:rPr>
                <w:rFonts w:ascii="宋体" w:hAnsi="宋体"/>
                <w:color w:val="auto"/>
                <w:szCs w:val="21"/>
              </w:rPr>
            </w:pPr>
            <w:r>
              <w:rPr>
                <w:rFonts w:hint="eastAsia" w:ascii="宋体" w:hAnsi="宋体"/>
                <w:color w:val="auto"/>
                <w:szCs w:val="21"/>
              </w:rPr>
              <w:t>第1</w:t>
            </w:r>
            <w:r>
              <w:rPr>
                <w:rFonts w:hint="eastAsia" w:ascii="宋体" w:hAnsi="宋体"/>
                <w:color w:val="auto"/>
                <w:szCs w:val="21"/>
                <w:lang w:val="en-US" w:eastAsia="zh-CN"/>
              </w:rPr>
              <w:t>0</w:t>
            </w:r>
            <w:r>
              <w:rPr>
                <w:rFonts w:hint="eastAsia" w:ascii="宋体" w:hAnsi="宋体"/>
                <w:color w:val="auto"/>
                <w:szCs w:val="21"/>
              </w:rPr>
              <w:t>.3款</w:t>
            </w:r>
          </w:p>
        </w:tc>
        <w:tc>
          <w:tcPr>
            <w:tcW w:w="2220" w:type="dxa"/>
            <w:noWrap w:val="0"/>
            <w:vAlign w:val="center"/>
          </w:tcPr>
          <w:p w14:paraId="184D509D">
            <w:pPr>
              <w:adjustRightInd w:val="0"/>
              <w:snapToGrid w:val="0"/>
              <w:spacing w:before="50" w:line="360" w:lineRule="auto"/>
              <w:jc w:val="center"/>
              <w:rPr>
                <w:rFonts w:ascii="宋体" w:hAnsi="宋体"/>
                <w:color w:val="auto"/>
                <w:szCs w:val="21"/>
              </w:rPr>
            </w:pPr>
            <w:r>
              <w:rPr>
                <w:rFonts w:hint="eastAsia" w:ascii="宋体" w:hAnsi="宋体"/>
                <w:color w:val="auto"/>
                <w:szCs w:val="21"/>
              </w:rPr>
              <w:t>采购项目预算</w:t>
            </w:r>
          </w:p>
        </w:tc>
        <w:tc>
          <w:tcPr>
            <w:tcW w:w="6398" w:type="dxa"/>
            <w:noWrap w:val="0"/>
            <w:vAlign w:val="center"/>
          </w:tcPr>
          <w:p w14:paraId="006E4F32">
            <w:pPr>
              <w:adjustRightInd w:val="0"/>
              <w:snapToGrid w:val="0"/>
              <w:spacing w:line="360" w:lineRule="auto"/>
              <w:rPr>
                <w:rFonts w:hint="default" w:ascii="宋体" w:hAnsi="宋体" w:eastAsia="宋体"/>
                <w:b/>
                <w:bCs/>
                <w:color w:val="auto"/>
                <w:szCs w:val="21"/>
                <w:lang w:val="en-US" w:eastAsia="zh-CN"/>
              </w:rPr>
            </w:pPr>
            <w:r>
              <w:rPr>
                <w:rFonts w:hint="eastAsia" w:ascii="宋体" w:hAnsi="宋体"/>
                <w:b/>
                <w:bCs/>
                <w:color w:val="auto"/>
                <w:szCs w:val="21"/>
                <w:lang w:val="en-US" w:eastAsia="zh-CN"/>
              </w:rPr>
              <w:t>采购预算：3987082.63元；最高限制总价：3987082.63元；最高限制单价：详见清单。</w:t>
            </w:r>
          </w:p>
        </w:tc>
      </w:tr>
      <w:tr w14:paraId="7E8B1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6414BB9A">
            <w:pPr>
              <w:adjustRightInd w:val="0"/>
              <w:snapToGrid w:val="0"/>
              <w:spacing w:before="50" w:line="360" w:lineRule="auto"/>
              <w:jc w:val="center"/>
              <w:rPr>
                <w:rFonts w:ascii="宋体" w:hAnsi="宋体"/>
                <w:color w:val="auto"/>
                <w:szCs w:val="21"/>
              </w:rPr>
            </w:pPr>
            <w:r>
              <w:rPr>
                <w:rFonts w:hint="eastAsia" w:ascii="宋体" w:hAnsi="宋体"/>
                <w:color w:val="auto"/>
                <w:szCs w:val="21"/>
              </w:rPr>
              <w:t>第1</w:t>
            </w:r>
            <w:r>
              <w:rPr>
                <w:rFonts w:hint="eastAsia" w:ascii="宋体" w:hAnsi="宋体"/>
                <w:color w:val="auto"/>
                <w:szCs w:val="21"/>
                <w:lang w:val="en-US" w:eastAsia="zh-CN"/>
              </w:rPr>
              <w:t>0</w:t>
            </w:r>
            <w:r>
              <w:rPr>
                <w:rFonts w:hint="eastAsia" w:ascii="宋体" w:hAnsi="宋体"/>
                <w:color w:val="auto"/>
                <w:szCs w:val="21"/>
              </w:rPr>
              <w:t>.6款</w:t>
            </w:r>
          </w:p>
        </w:tc>
        <w:tc>
          <w:tcPr>
            <w:tcW w:w="2220" w:type="dxa"/>
            <w:noWrap w:val="0"/>
            <w:vAlign w:val="center"/>
          </w:tcPr>
          <w:p w14:paraId="6D7FF268">
            <w:pPr>
              <w:adjustRightInd w:val="0"/>
              <w:snapToGrid w:val="0"/>
              <w:spacing w:before="50" w:line="360" w:lineRule="auto"/>
              <w:jc w:val="center"/>
              <w:rPr>
                <w:rFonts w:ascii="宋体" w:hAnsi="宋体"/>
                <w:color w:val="auto"/>
                <w:szCs w:val="21"/>
              </w:rPr>
            </w:pPr>
            <w:r>
              <w:rPr>
                <w:rFonts w:hint="eastAsia" w:ascii="宋体" w:hAnsi="宋体"/>
                <w:color w:val="auto"/>
                <w:szCs w:val="21"/>
              </w:rPr>
              <w:t>报价的其他要求</w:t>
            </w:r>
          </w:p>
        </w:tc>
        <w:tc>
          <w:tcPr>
            <w:tcW w:w="6398" w:type="dxa"/>
            <w:noWrap w:val="0"/>
            <w:vAlign w:val="center"/>
          </w:tcPr>
          <w:p w14:paraId="6BD37610">
            <w:pPr>
              <w:spacing w:line="460" w:lineRule="exact"/>
              <w:outlineLvl w:val="9"/>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本项目设置单价及总价限制，投标人任一单项报价超过单项最高限价或总价超过最高限价的，其投标无效</w:t>
            </w:r>
            <w:r>
              <w:rPr>
                <w:rFonts w:hint="eastAsia" w:cs="宋体"/>
                <w:b/>
                <w:bCs/>
                <w:color w:val="auto"/>
                <w:sz w:val="21"/>
                <w:szCs w:val="21"/>
                <w:highlight w:val="none"/>
                <w:lang w:eastAsia="zh-CN"/>
              </w:rPr>
              <w:t>。</w:t>
            </w:r>
          </w:p>
          <w:p w14:paraId="7B35EACD">
            <w:pPr>
              <w:adjustRightInd w:val="0"/>
              <w:snapToGrid w:val="0"/>
              <w:spacing w:line="360" w:lineRule="auto"/>
              <w:jc w:val="both"/>
              <w:rPr>
                <w:rFonts w:hint="eastAsia" w:ascii="宋体" w:hAnsi="宋体" w:eastAsia="宋体"/>
                <w:color w:val="auto"/>
                <w:szCs w:val="21"/>
                <w:lang w:val="en-US" w:eastAsia="zh-CN"/>
              </w:rPr>
            </w:pPr>
            <w:r>
              <w:rPr>
                <w:rFonts w:hint="eastAsia" w:ascii="宋体" w:hAnsi="宋体" w:eastAsia="宋体" w:cs="宋体"/>
                <w:color w:val="auto"/>
                <w:sz w:val="21"/>
                <w:szCs w:val="21"/>
                <w:highlight w:val="none"/>
                <w:lang w:val="en-US" w:eastAsia="zh-CN"/>
              </w:rPr>
              <w:t>2.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18BE97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1E42D66E">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第1</w:t>
            </w:r>
            <w:r>
              <w:rPr>
                <w:rFonts w:hint="eastAsia" w:ascii="宋体" w:hAnsi="宋体"/>
                <w:color w:val="auto"/>
                <w:szCs w:val="21"/>
                <w:lang w:val="en-US" w:eastAsia="zh-CN"/>
              </w:rPr>
              <w:t>1</w:t>
            </w:r>
            <w:r>
              <w:rPr>
                <w:rFonts w:hint="eastAsia" w:ascii="宋体" w:hAnsi="宋体"/>
                <w:color w:val="auto"/>
                <w:szCs w:val="21"/>
              </w:rPr>
              <w:t>.1款</w:t>
            </w:r>
          </w:p>
        </w:tc>
        <w:tc>
          <w:tcPr>
            <w:tcW w:w="2220" w:type="dxa"/>
            <w:noWrap w:val="0"/>
            <w:vAlign w:val="center"/>
          </w:tcPr>
          <w:p w14:paraId="7DC060DA">
            <w:pPr>
              <w:adjustRightInd w:val="0"/>
              <w:snapToGrid w:val="0"/>
              <w:spacing w:before="156" w:beforeLines="50" w:line="360" w:lineRule="auto"/>
              <w:ind w:left="-533" w:leftChars="-254" w:firstLine="533" w:firstLineChars="254"/>
              <w:jc w:val="center"/>
              <w:rPr>
                <w:rFonts w:ascii="宋体" w:hAnsi="宋体"/>
                <w:color w:val="auto"/>
                <w:szCs w:val="21"/>
              </w:rPr>
            </w:pPr>
            <w:r>
              <w:rPr>
                <w:rFonts w:hint="eastAsia" w:ascii="宋体" w:hAnsi="宋体"/>
                <w:color w:val="auto"/>
                <w:szCs w:val="21"/>
              </w:rPr>
              <w:t>保证金</w:t>
            </w:r>
          </w:p>
        </w:tc>
        <w:tc>
          <w:tcPr>
            <w:tcW w:w="6398" w:type="dxa"/>
            <w:noWrap w:val="0"/>
            <w:vAlign w:val="center"/>
          </w:tcPr>
          <w:p w14:paraId="37408C0C">
            <w:pPr>
              <w:adjustRightInd w:val="0"/>
              <w:snapToGrid w:val="0"/>
              <w:spacing w:before="50" w:line="360" w:lineRule="auto"/>
              <w:rPr>
                <w:rFonts w:ascii="宋体" w:hAnsi="宋体"/>
                <w:color w:val="auto"/>
                <w:szCs w:val="21"/>
              </w:rPr>
            </w:pPr>
            <w:r>
              <w:rPr>
                <w:rFonts w:hint="eastAsia" w:ascii="宋体" w:hAnsi="宋体" w:eastAsia="宋体"/>
                <w:sz w:val="21"/>
                <w:szCs w:val="21"/>
                <w:highlight w:val="none"/>
                <w:lang w:val="en-US" w:eastAsia="zh-CN"/>
              </w:rPr>
              <w:t>本项目不要求提供</w:t>
            </w:r>
          </w:p>
        </w:tc>
      </w:tr>
      <w:tr w14:paraId="1D626A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7EF808C5">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第1</w:t>
            </w:r>
            <w:r>
              <w:rPr>
                <w:rFonts w:hint="eastAsia" w:ascii="宋体" w:hAnsi="宋体"/>
                <w:color w:val="auto"/>
                <w:szCs w:val="21"/>
                <w:lang w:val="en-US" w:eastAsia="zh-CN"/>
              </w:rPr>
              <w:t>2</w:t>
            </w:r>
            <w:r>
              <w:rPr>
                <w:rFonts w:hint="eastAsia" w:ascii="宋体" w:hAnsi="宋体"/>
                <w:color w:val="auto"/>
                <w:szCs w:val="21"/>
              </w:rPr>
              <w:t>.1款</w:t>
            </w:r>
          </w:p>
        </w:tc>
        <w:tc>
          <w:tcPr>
            <w:tcW w:w="2220" w:type="dxa"/>
            <w:noWrap w:val="0"/>
            <w:vAlign w:val="center"/>
          </w:tcPr>
          <w:p w14:paraId="7287AA27">
            <w:pPr>
              <w:adjustRightInd w:val="0"/>
              <w:snapToGrid w:val="0"/>
              <w:spacing w:before="156" w:beforeLines="50" w:line="360" w:lineRule="auto"/>
              <w:jc w:val="center"/>
              <w:rPr>
                <w:rFonts w:ascii="宋体" w:hAnsi="宋体"/>
                <w:bCs/>
                <w:color w:val="auto"/>
                <w:szCs w:val="21"/>
              </w:rPr>
            </w:pPr>
            <w:r>
              <w:rPr>
                <w:rFonts w:hint="eastAsia" w:ascii="宋体" w:hAnsi="宋体"/>
                <w:bCs/>
                <w:color w:val="auto"/>
                <w:szCs w:val="21"/>
              </w:rPr>
              <w:t>响应文件有效期</w:t>
            </w:r>
          </w:p>
        </w:tc>
        <w:tc>
          <w:tcPr>
            <w:tcW w:w="6398" w:type="dxa"/>
            <w:noWrap w:val="0"/>
            <w:vAlign w:val="center"/>
          </w:tcPr>
          <w:p w14:paraId="21823857">
            <w:pPr>
              <w:adjustRightInd w:val="0"/>
              <w:snapToGrid w:val="0"/>
              <w:spacing w:line="360" w:lineRule="auto"/>
              <w:rPr>
                <w:rFonts w:ascii="宋体" w:hAnsi="宋体"/>
                <w:bCs/>
                <w:color w:val="auto"/>
                <w:szCs w:val="21"/>
              </w:rPr>
            </w:pPr>
            <w:r>
              <w:rPr>
                <w:rFonts w:hint="eastAsia" w:ascii="宋体" w:hAnsi="宋体"/>
                <w:color w:val="auto"/>
                <w:szCs w:val="21"/>
                <w:u w:val="single"/>
              </w:rPr>
              <w:t xml:space="preserve"> </w:t>
            </w:r>
            <w:r>
              <w:rPr>
                <w:rFonts w:hint="eastAsia" w:ascii="宋体" w:hAnsi="宋体"/>
                <w:color w:val="auto"/>
                <w:szCs w:val="21"/>
                <w:u w:val="single"/>
                <w:lang w:val="en-US" w:eastAsia="zh-CN"/>
              </w:rPr>
              <w:t>90</w:t>
            </w:r>
            <w:r>
              <w:rPr>
                <w:rFonts w:hint="eastAsia" w:ascii="宋体" w:hAnsi="宋体"/>
                <w:color w:val="auto"/>
                <w:szCs w:val="21"/>
                <w:u w:val="single"/>
              </w:rPr>
              <w:t xml:space="preserve"> </w:t>
            </w:r>
            <w:r>
              <w:rPr>
                <w:rFonts w:hint="eastAsia" w:ascii="宋体" w:hAnsi="宋体"/>
                <w:color w:val="auto"/>
                <w:szCs w:val="21"/>
              </w:rPr>
              <w:t>日</w:t>
            </w:r>
          </w:p>
        </w:tc>
      </w:tr>
      <w:tr w14:paraId="35585E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423420D6">
            <w:pPr>
              <w:adjustRightInd w:val="0"/>
              <w:snapToGrid w:val="0"/>
              <w:spacing w:before="156" w:beforeLines="50" w:line="360" w:lineRule="auto"/>
              <w:jc w:val="center"/>
              <w:rPr>
                <w:rFonts w:ascii="宋体" w:hAnsi="宋体"/>
                <w:color w:val="auto"/>
                <w:szCs w:val="21"/>
              </w:rPr>
            </w:pPr>
            <w:r>
              <w:rPr>
                <w:rFonts w:hint="eastAsia" w:ascii="宋体" w:hAnsi="宋体"/>
                <w:color w:val="auto"/>
                <w:szCs w:val="21"/>
              </w:rPr>
              <w:t>第1</w:t>
            </w:r>
            <w:r>
              <w:rPr>
                <w:rFonts w:hint="eastAsia" w:ascii="宋体" w:hAnsi="宋体"/>
                <w:color w:val="auto"/>
                <w:szCs w:val="21"/>
                <w:lang w:val="en-US" w:eastAsia="zh-CN"/>
              </w:rPr>
              <w:t>3</w:t>
            </w:r>
            <w:r>
              <w:rPr>
                <w:rFonts w:hint="eastAsia" w:ascii="宋体" w:hAnsi="宋体"/>
                <w:color w:val="auto"/>
                <w:szCs w:val="21"/>
              </w:rPr>
              <w:t>.1款</w:t>
            </w:r>
          </w:p>
        </w:tc>
        <w:tc>
          <w:tcPr>
            <w:tcW w:w="2220" w:type="dxa"/>
            <w:noWrap w:val="0"/>
            <w:vAlign w:val="center"/>
          </w:tcPr>
          <w:p w14:paraId="6D5F148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bCs/>
                <w:color w:val="auto"/>
                <w:szCs w:val="21"/>
              </w:rPr>
            </w:pPr>
            <w:r>
              <w:rPr>
                <w:rFonts w:hint="eastAsia" w:ascii="宋体" w:hAnsi="宋体"/>
                <w:bCs/>
                <w:color w:val="auto"/>
                <w:szCs w:val="21"/>
              </w:rPr>
              <w:t>分包</w:t>
            </w:r>
          </w:p>
        </w:tc>
        <w:tc>
          <w:tcPr>
            <w:tcW w:w="6398" w:type="dxa"/>
            <w:noWrap w:val="0"/>
            <w:vAlign w:val="center"/>
          </w:tcPr>
          <w:p w14:paraId="7DDEEB6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bCs/>
                <w:color w:val="auto"/>
                <w:szCs w:val="21"/>
              </w:rPr>
            </w:pPr>
            <w:r>
              <w:rPr>
                <w:rFonts w:hint="eastAsia" w:ascii="宋体" w:hAnsi="宋体"/>
                <w:color w:val="auto"/>
                <w:szCs w:val="21"/>
                <w:u w:val="none"/>
                <w:lang w:val="en-US" w:eastAsia="zh-CN"/>
              </w:rPr>
              <w:t>不允许</w:t>
            </w:r>
          </w:p>
        </w:tc>
      </w:tr>
      <w:tr w14:paraId="1148DF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1E8D3755">
            <w:pPr>
              <w:adjustRightInd w:val="0"/>
              <w:snapToGrid w:val="0"/>
              <w:spacing w:before="50" w:line="360" w:lineRule="auto"/>
              <w:jc w:val="center"/>
              <w:rPr>
                <w:rFonts w:ascii="宋体" w:hAnsi="宋体"/>
                <w:color w:val="auto"/>
                <w:szCs w:val="21"/>
              </w:rPr>
            </w:pPr>
            <w:r>
              <w:rPr>
                <w:rFonts w:hint="eastAsia" w:ascii="宋体" w:hAnsi="宋体"/>
                <w:color w:val="auto"/>
                <w:szCs w:val="21"/>
              </w:rPr>
              <w:t>第1</w:t>
            </w:r>
            <w:r>
              <w:rPr>
                <w:rFonts w:hint="eastAsia" w:ascii="宋体" w:hAnsi="宋体"/>
                <w:color w:val="auto"/>
                <w:szCs w:val="21"/>
                <w:lang w:val="en-US" w:eastAsia="zh-CN"/>
              </w:rPr>
              <w:t>4</w:t>
            </w:r>
            <w:r>
              <w:rPr>
                <w:rFonts w:hint="eastAsia" w:ascii="宋体" w:hAnsi="宋体"/>
                <w:color w:val="auto"/>
                <w:szCs w:val="21"/>
              </w:rPr>
              <w:t>.2款</w:t>
            </w:r>
          </w:p>
        </w:tc>
        <w:tc>
          <w:tcPr>
            <w:tcW w:w="2220" w:type="dxa"/>
            <w:noWrap w:val="0"/>
            <w:vAlign w:val="center"/>
          </w:tcPr>
          <w:p w14:paraId="3B65464F">
            <w:pPr>
              <w:adjustRightInd w:val="0"/>
              <w:snapToGrid w:val="0"/>
              <w:spacing w:before="50" w:line="360" w:lineRule="auto"/>
              <w:jc w:val="center"/>
              <w:rPr>
                <w:rFonts w:ascii="宋体" w:hAnsi="宋体"/>
                <w:bCs/>
                <w:color w:val="auto"/>
                <w:szCs w:val="21"/>
              </w:rPr>
            </w:pPr>
            <w:r>
              <w:rPr>
                <w:rFonts w:hint="eastAsia" w:ascii="宋体" w:hAnsi="宋体"/>
                <w:bCs/>
                <w:color w:val="auto"/>
                <w:szCs w:val="21"/>
              </w:rPr>
              <w:t>响应</w:t>
            </w:r>
            <w:r>
              <w:rPr>
                <w:rFonts w:hint="eastAsia" w:ascii="宋体" w:hAnsi="宋体"/>
                <w:color w:val="auto"/>
                <w:szCs w:val="21"/>
              </w:rPr>
              <w:t>文件副本份数</w:t>
            </w:r>
          </w:p>
        </w:tc>
        <w:tc>
          <w:tcPr>
            <w:tcW w:w="6398" w:type="dxa"/>
            <w:noWrap w:val="0"/>
            <w:vAlign w:val="center"/>
          </w:tcPr>
          <w:p w14:paraId="100243FB">
            <w:pPr>
              <w:pStyle w:val="13"/>
              <w:adjustRightInd w:val="0"/>
              <w:snapToGrid w:val="0"/>
              <w:spacing w:before="156" w:beforeLines="50" w:line="360" w:lineRule="auto"/>
              <w:rPr>
                <w:rFonts w:hAnsi="宋体" w:cs="宋体"/>
                <w:color w:val="auto"/>
              </w:rPr>
            </w:pPr>
            <w:r>
              <w:rPr>
                <w:rFonts w:hint="eastAsia" w:hAnsi="宋体" w:cs="宋体"/>
                <w:color w:val="auto"/>
              </w:rPr>
              <w:t>响应文件一式</w:t>
            </w:r>
            <w:r>
              <w:rPr>
                <w:rFonts w:hint="eastAsia" w:hAnsi="宋体" w:cs="宋体"/>
                <w:color w:val="auto"/>
                <w:lang w:eastAsia="zh-CN"/>
              </w:rPr>
              <w:t>肆</w:t>
            </w:r>
            <w:r>
              <w:rPr>
                <w:rFonts w:hint="eastAsia" w:hAnsi="宋体" w:cs="宋体"/>
                <w:color w:val="auto"/>
              </w:rPr>
              <w:t>份，正本1份和副本</w:t>
            </w:r>
            <w:r>
              <w:rPr>
                <w:rFonts w:hint="eastAsia" w:hAnsi="宋体" w:cs="宋体"/>
                <w:color w:val="auto"/>
                <w:lang w:val="en-US" w:eastAsia="zh-CN"/>
              </w:rPr>
              <w:t>3</w:t>
            </w:r>
            <w:r>
              <w:rPr>
                <w:rFonts w:hint="eastAsia" w:hAnsi="宋体" w:cs="宋体"/>
                <w:color w:val="auto"/>
              </w:rPr>
              <w:t>份； 签字盖章版电子文件一份（U盘，并标明“投标文件电子版”）</w:t>
            </w:r>
          </w:p>
          <w:p w14:paraId="5CC86262">
            <w:pPr>
              <w:spacing w:line="360" w:lineRule="auto"/>
              <w:rPr>
                <w:rFonts w:hint="eastAsia" w:ascii="宋体" w:hAnsi="宋体" w:eastAsia="宋体"/>
                <w:color w:val="auto"/>
                <w:szCs w:val="21"/>
                <w:u w:val="single"/>
                <w:lang w:eastAsia="zh-CN"/>
              </w:rPr>
            </w:pPr>
            <w:r>
              <w:rPr>
                <w:rFonts w:hint="eastAsia" w:ascii="宋体" w:hAnsi="宋体"/>
                <w:color w:val="auto"/>
                <w:szCs w:val="21"/>
              </w:rPr>
              <w:t>采用</w:t>
            </w:r>
            <w:r>
              <w:rPr>
                <w:rFonts w:hint="eastAsia" w:ascii="宋体" w:hAnsi="宋体"/>
                <w:color w:val="auto"/>
                <w:szCs w:val="21"/>
                <w:u w:val="single"/>
              </w:rPr>
              <w:t xml:space="preserve">  </w:t>
            </w:r>
            <w:r>
              <w:rPr>
                <w:rFonts w:hint="eastAsia" w:ascii="宋体" w:hAnsi="宋体"/>
                <w:b/>
                <w:color w:val="auto"/>
                <w:szCs w:val="21"/>
                <w:u w:val="single"/>
              </w:rPr>
              <w:t>胶装</w:t>
            </w:r>
            <w:r>
              <w:rPr>
                <w:rFonts w:hint="eastAsia" w:ascii="宋体" w:hAnsi="宋体"/>
                <w:color w:val="auto"/>
                <w:szCs w:val="21"/>
                <w:u w:val="single"/>
              </w:rPr>
              <w:t xml:space="preserve"> </w:t>
            </w:r>
            <w:r>
              <w:rPr>
                <w:rFonts w:hint="eastAsia" w:ascii="宋体" w:hAnsi="宋体"/>
                <w:color w:val="auto"/>
                <w:szCs w:val="21"/>
              </w:rPr>
              <w:t>方式装订，装订应牢固、不易拆散和换页，不得采用活页装订，提倡双面打印。</w:t>
            </w:r>
          </w:p>
        </w:tc>
      </w:tr>
      <w:tr w14:paraId="5E1C1F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0046" w:type="dxa"/>
            <w:gridSpan w:val="3"/>
            <w:noWrap w:val="0"/>
            <w:vAlign w:val="center"/>
          </w:tcPr>
          <w:p w14:paraId="0995AAE2">
            <w:pPr>
              <w:adjustRightInd w:val="0"/>
              <w:snapToGrid w:val="0"/>
              <w:spacing w:before="50" w:line="360" w:lineRule="auto"/>
              <w:rPr>
                <w:rFonts w:ascii="宋体" w:hAnsi="宋体"/>
                <w:b/>
                <w:bCs/>
                <w:color w:val="auto"/>
                <w:szCs w:val="21"/>
              </w:rPr>
            </w:pPr>
            <w:r>
              <w:rPr>
                <w:rFonts w:hint="eastAsia" w:ascii="宋体" w:hAnsi="宋体"/>
                <w:b/>
                <w:color w:val="auto"/>
                <w:szCs w:val="21"/>
              </w:rPr>
              <w:t>四、响应文件的递交</w:t>
            </w:r>
          </w:p>
        </w:tc>
      </w:tr>
      <w:tr w14:paraId="4CC9C3E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071FB683">
            <w:pPr>
              <w:adjustRightInd w:val="0"/>
              <w:snapToGrid w:val="0"/>
              <w:spacing w:before="50" w:line="360" w:lineRule="auto"/>
              <w:jc w:val="center"/>
              <w:rPr>
                <w:rFonts w:ascii="宋体" w:hAnsi="宋体"/>
                <w:color w:val="auto"/>
                <w:szCs w:val="21"/>
              </w:rPr>
            </w:pPr>
            <w:r>
              <w:rPr>
                <w:rFonts w:hint="eastAsia" w:ascii="宋体" w:hAnsi="宋体"/>
                <w:color w:val="auto"/>
                <w:szCs w:val="21"/>
              </w:rPr>
              <w:t>第1</w:t>
            </w:r>
            <w:r>
              <w:rPr>
                <w:rFonts w:hint="eastAsia" w:ascii="宋体" w:hAnsi="宋体"/>
                <w:color w:val="auto"/>
                <w:szCs w:val="21"/>
                <w:lang w:val="en-US" w:eastAsia="zh-CN"/>
              </w:rPr>
              <w:t>5</w:t>
            </w:r>
            <w:r>
              <w:rPr>
                <w:rFonts w:hint="eastAsia" w:ascii="宋体" w:hAnsi="宋体"/>
                <w:color w:val="auto"/>
                <w:szCs w:val="21"/>
              </w:rPr>
              <w:t>.2款</w:t>
            </w:r>
          </w:p>
        </w:tc>
        <w:tc>
          <w:tcPr>
            <w:tcW w:w="2220" w:type="dxa"/>
            <w:noWrap w:val="0"/>
            <w:vAlign w:val="center"/>
          </w:tcPr>
          <w:p w14:paraId="24225E28">
            <w:pPr>
              <w:adjustRightInd w:val="0"/>
              <w:snapToGrid w:val="0"/>
              <w:spacing w:before="50" w:line="360" w:lineRule="auto"/>
              <w:jc w:val="center"/>
              <w:rPr>
                <w:rFonts w:ascii="宋体" w:hAnsi="宋体"/>
                <w:color w:val="auto"/>
                <w:szCs w:val="21"/>
              </w:rPr>
            </w:pPr>
            <w:r>
              <w:rPr>
                <w:rFonts w:hint="eastAsia" w:ascii="宋体" w:hAnsi="宋体"/>
                <w:color w:val="auto"/>
                <w:szCs w:val="21"/>
              </w:rPr>
              <w:t>封套上应载明的信息</w:t>
            </w:r>
          </w:p>
        </w:tc>
        <w:tc>
          <w:tcPr>
            <w:tcW w:w="6398" w:type="dxa"/>
            <w:noWrap w:val="0"/>
            <w:vAlign w:val="center"/>
          </w:tcPr>
          <w:p w14:paraId="327491E5">
            <w:pPr>
              <w:adjustRightInd w:val="0"/>
              <w:snapToGrid w:val="0"/>
              <w:spacing w:line="360" w:lineRule="auto"/>
              <w:rPr>
                <w:rFonts w:hint="eastAsia" w:hAnsi="宋体" w:eastAsia="宋体"/>
                <w:color w:val="auto"/>
                <w:shd w:val="clear" w:color="auto" w:fill="auto"/>
                <w:lang w:eastAsia="zh-CN"/>
              </w:rPr>
            </w:pPr>
            <w:r>
              <w:rPr>
                <w:rFonts w:hint="eastAsia" w:hAnsi="宋体"/>
                <w:color w:val="auto"/>
                <w:shd w:val="clear" w:color="auto" w:fill="auto"/>
              </w:rPr>
              <w:t>项目名称：</w:t>
            </w:r>
          </w:p>
          <w:p w14:paraId="39027A1C">
            <w:pPr>
              <w:adjustRightInd w:val="0"/>
              <w:snapToGrid w:val="0"/>
              <w:spacing w:line="360" w:lineRule="auto"/>
              <w:rPr>
                <w:rFonts w:hint="eastAsia" w:ascii="宋体" w:hAnsi="宋体" w:eastAsia="宋体"/>
                <w:iCs/>
                <w:color w:val="auto"/>
                <w:szCs w:val="21"/>
                <w:shd w:val="clear" w:color="auto" w:fill="auto"/>
                <w:lang w:val="en-US" w:eastAsia="zh-CN"/>
              </w:rPr>
            </w:pPr>
            <w:r>
              <w:rPr>
                <w:rFonts w:hint="eastAsia" w:ascii="宋体" w:hAnsi="宋体"/>
                <w:iCs/>
                <w:color w:val="auto"/>
                <w:szCs w:val="21"/>
                <w:shd w:val="clear" w:color="auto" w:fill="auto"/>
                <w:lang w:val="en-US" w:eastAsia="zh-CN"/>
              </w:rPr>
              <w:t>采购编号</w:t>
            </w:r>
            <w:r>
              <w:rPr>
                <w:rFonts w:hint="eastAsia" w:ascii="宋体" w:hAnsi="宋体"/>
                <w:iCs/>
                <w:color w:val="auto"/>
                <w:szCs w:val="21"/>
                <w:shd w:val="clear" w:color="auto" w:fill="auto"/>
              </w:rPr>
              <w:t>：</w:t>
            </w:r>
            <w:r>
              <w:rPr>
                <w:rFonts w:hint="eastAsia" w:ascii="宋体" w:hAnsi="宋体"/>
                <w:iCs/>
                <w:color w:val="auto"/>
                <w:szCs w:val="21"/>
                <w:shd w:val="clear" w:color="auto" w:fill="auto"/>
                <w:lang w:eastAsia="zh-CN"/>
              </w:rPr>
              <w:t xml:space="preserve">    </w:t>
            </w:r>
          </w:p>
          <w:p w14:paraId="19B278FB">
            <w:pPr>
              <w:spacing w:line="360" w:lineRule="auto"/>
              <w:jc w:val="left"/>
              <w:rPr>
                <w:rFonts w:hint="eastAsia" w:ascii="宋体" w:hAnsi="宋体" w:eastAsia="宋体"/>
                <w:iCs/>
                <w:color w:val="auto"/>
                <w:szCs w:val="21"/>
                <w:shd w:val="clear" w:color="auto" w:fill="auto"/>
                <w:lang w:eastAsia="zh-CN"/>
              </w:rPr>
            </w:pPr>
            <w:r>
              <w:rPr>
                <w:rFonts w:hint="eastAsia" w:ascii="宋体" w:hAnsi="宋体"/>
                <w:color w:val="auto"/>
                <w:szCs w:val="21"/>
                <w:shd w:val="clear" w:color="auto" w:fill="auto"/>
              </w:rPr>
              <w:t>委托代理编号：</w:t>
            </w:r>
            <w:r>
              <w:rPr>
                <w:rFonts w:hint="eastAsia" w:ascii="宋体" w:hAnsi="宋体"/>
                <w:color w:val="auto"/>
                <w:szCs w:val="21"/>
                <w:shd w:val="clear" w:color="auto" w:fill="auto"/>
                <w:lang w:eastAsia="zh-CN"/>
              </w:rPr>
              <w:t xml:space="preserve">  </w:t>
            </w:r>
          </w:p>
          <w:p w14:paraId="2B086687">
            <w:pPr>
              <w:adjustRightInd w:val="0"/>
              <w:snapToGrid w:val="0"/>
              <w:spacing w:line="360" w:lineRule="auto"/>
              <w:rPr>
                <w:rFonts w:hint="eastAsia" w:ascii="宋体" w:hAnsi="宋体"/>
                <w:color w:val="auto"/>
                <w:szCs w:val="21"/>
                <w:shd w:val="clear" w:color="auto" w:fill="auto"/>
              </w:rPr>
            </w:pPr>
            <w:r>
              <w:rPr>
                <w:rFonts w:hint="eastAsia" w:ascii="宋体" w:hAnsi="宋体"/>
                <w:color w:val="auto"/>
                <w:szCs w:val="21"/>
                <w:shd w:val="clear" w:color="auto" w:fill="auto"/>
              </w:rPr>
              <w:t>在</w:t>
            </w:r>
            <w:r>
              <w:rPr>
                <w:rFonts w:hint="eastAsia" w:ascii="宋体" w:hAnsi="宋体"/>
                <w:color w:val="auto"/>
                <w:szCs w:val="21"/>
                <w:u w:val="single"/>
                <w:shd w:val="clear" w:color="auto" w:fill="auto"/>
                <w:lang w:val="en-US" w:eastAsia="zh-CN"/>
              </w:rPr>
              <w:t xml:space="preserve">    </w:t>
            </w:r>
            <w:r>
              <w:rPr>
                <w:rFonts w:hint="eastAsia" w:ascii="宋体" w:hAnsi="宋体"/>
                <w:color w:val="auto"/>
                <w:szCs w:val="21"/>
                <w:u w:val="none"/>
                <w:shd w:val="clear" w:color="auto" w:fill="auto"/>
              </w:rPr>
              <w:t>年</w:t>
            </w:r>
            <w:r>
              <w:rPr>
                <w:rFonts w:hint="eastAsia" w:ascii="宋体" w:hAnsi="宋体"/>
                <w:color w:val="auto"/>
                <w:szCs w:val="21"/>
                <w:u w:val="single"/>
                <w:shd w:val="clear" w:color="auto" w:fill="auto"/>
                <w:lang w:val="en-US" w:eastAsia="zh-CN"/>
              </w:rPr>
              <w:t xml:space="preserve">  </w:t>
            </w:r>
            <w:r>
              <w:rPr>
                <w:rFonts w:hint="eastAsia" w:ascii="宋体" w:hAnsi="宋体"/>
                <w:color w:val="auto"/>
                <w:szCs w:val="21"/>
                <w:u w:val="none"/>
                <w:shd w:val="clear" w:color="auto" w:fill="auto"/>
              </w:rPr>
              <w:t>月</w:t>
            </w:r>
            <w:r>
              <w:rPr>
                <w:rFonts w:hint="eastAsia" w:ascii="宋体" w:hAnsi="宋体"/>
                <w:color w:val="auto"/>
                <w:szCs w:val="21"/>
                <w:u w:val="single"/>
                <w:shd w:val="clear" w:color="auto" w:fill="auto"/>
                <w:lang w:val="en-US" w:eastAsia="zh-CN"/>
              </w:rPr>
              <w:t xml:space="preserve">  </w:t>
            </w:r>
            <w:r>
              <w:rPr>
                <w:rFonts w:hint="eastAsia" w:ascii="宋体" w:hAnsi="宋体"/>
                <w:color w:val="auto"/>
                <w:szCs w:val="21"/>
                <w:u w:val="none"/>
                <w:shd w:val="clear" w:color="auto" w:fill="auto"/>
              </w:rPr>
              <w:t>日</w:t>
            </w:r>
            <w:r>
              <w:rPr>
                <w:rFonts w:hint="eastAsia" w:ascii="宋体" w:hAnsi="宋体"/>
                <w:color w:val="auto"/>
                <w:szCs w:val="21"/>
                <w:u w:val="single"/>
                <w:shd w:val="clear" w:color="auto" w:fill="auto"/>
                <w:lang w:val="en-US" w:eastAsia="zh-CN"/>
              </w:rPr>
              <w:t xml:space="preserve">  </w:t>
            </w:r>
            <w:r>
              <w:rPr>
                <w:rFonts w:hint="eastAsia" w:ascii="宋体" w:hAnsi="宋体"/>
                <w:color w:val="auto"/>
                <w:szCs w:val="21"/>
                <w:u w:val="none"/>
                <w:shd w:val="clear" w:color="auto" w:fill="auto"/>
              </w:rPr>
              <w:t>时</w:t>
            </w:r>
            <w:r>
              <w:rPr>
                <w:rFonts w:hint="eastAsia" w:ascii="宋体" w:hAnsi="宋体"/>
                <w:color w:val="auto"/>
                <w:szCs w:val="21"/>
                <w:u w:val="single"/>
                <w:shd w:val="clear" w:color="auto" w:fill="auto"/>
                <w:lang w:val="en-US" w:eastAsia="zh-CN"/>
              </w:rPr>
              <w:t xml:space="preserve">  </w:t>
            </w:r>
            <w:r>
              <w:rPr>
                <w:rFonts w:hint="eastAsia" w:ascii="宋体" w:hAnsi="宋体"/>
                <w:color w:val="auto"/>
                <w:szCs w:val="21"/>
                <w:u w:val="none"/>
                <w:shd w:val="clear" w:color="auto" w:fill="auto"/>
              </w:rPr>
              <w:t>分</w:t>
            </w:r>
            <w:r>
              <w:rPr>
                <w:rFonts w:hint="eastAsia" w:ascii="宋体" w:hAnsi="宋体"/>
                <w:color w:val="auto"/>
                <w:szCs w:val="21"/>
                <w:shd w:val="clear" w:color="auto" w:fill="auto"/>
              </w:rPr>
              <w:t>(提交首次响应文件的截止时间)之前不得启封</w:t>
            </w:r>
          </w:p>
          <w:p w14:paraId="3B980F80">
            <w:pPr>
              <w:adjustRightInd w:val="0"/>
              <w:snapToGrid w:val="0"/>
              <w:spacing w:line="360" w:lineRule="auto"/>
              <w:rPr>
                <w:rFonts w:ascii="宋体" w:hAnsi="宋体"/>
                <w:color w:val="auto"/>
                <w:szCs w:val="21"/>
              </w:rPr>
            </w:pPr>
            <w:r>
              <w:rPr>
                <w:rFonts w:hint="eastAsia" w:ascii="宋体" w:hAnsi="宋体"/>
                <w:color w:val="auto"/>
                <w:szCs w:val="21"/>
                <w:shd w:val="clear" w:color="auto" w:fill="auto"/>
                <w:lang w:eastAsia="zh-CN"/>
              </w:rPr>
              <w:t>供应商</w:t>
            </w:r>
            <w:r>
              <w:rPr>
                <w:rFonts w:hint="eastAsia" w:ascii="宋体" w:hAnsi="宋体"/>
                <w:color w:val="auto"/>
                <w:szCs w:val="21"/>
                <w:shd w:val="clear" w:color="auto" w:fill="auto"/>
              </w:rPr>
              <w:t>名称（加盖公章）：</w:t>
            </w:r>
            <w:r>
              <w:rPr>
                <w:rFonts w:hint="eastAsia" w:ascii="宋体" w:hAnsi="宋体"/>
                <w:color w:val="auto"/>
                <w:szCs w:val="21"/>
                <w:u w:val="single"/>
                <w:shd w:val="clear" w:color="auto" w:fill="auto"/>
              </w:rPr>
              <w:t xml:space="preserve">                 </w:t>
            </w:r>
            <w:r>
              <w:rPr>
                <w:rFonts w:hint="eastAsia" w:ascii="宋体" w:hAnsi="宋体"/>
                <w:color w:val="auto"/>
                <w:szCs w:val="21"/>
                <w:shd w:val="clear" w:color="auto" w:fill="auto"/>
              </w:rPr>
              <w:t xml:space="preserve"> </w:t>
            </w:r>
          </w:p>
        </w:tc>
      </w:tr>
      <w:tr w14:paraId="6C6DD0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7349B6F5">
            <w:pPr>
              <w:adjustRightInd w:val="0"/>
              <w:snapToGrid w:val="0"/>
              <w:spacing w:before="50" w:line="360" w:lineRule="auto"/>
              <w:jc w:val="center"/>
              <w:rPr>
                <w:rFonts w:ascii="宋体" w:hAnsi="宋体"/>
                <w:color w:val="auto"/>
                <w:szCs w:val="21"/>
              </w:rPr>
            </w:pPr>
            <w:r>
              <w:rPr>
                <w:rFonts w:hint="eastAsia" w:ascii="宋体" w:hAnsi="宋体"/>
                <w:color w:val="auto"/>
                <w:szCs w:val="21"/>
              </w:rPr>
              <w:t>第1</w:t>
            </w:r>
            <w:r>
              <w:rPr>
                <w:rFonts w:hint="eastAsia" w:ascii="宋体" w:hAnsi="宋体"/>
                <w:color w:val="auto"/>
                <w:szCs w:val="21"/>
                <w:lang w:val="en-US" w:eastAsia="zh-CN"/>
              </w:rPr>
              <w:t>7</w:t>
            </w:r>
            <w:r>
              <w:rPr>
                <w:rFonts w:hint="eastAsia" w:ascii="宋体" w:hAnsi="宋体"/>
                <w:color w:val="auto"/>
                <w:szCs w:val="21"/>
              </w:rPr>
              <w:t>.1款</w:t>
            </w:r>
          </w:p>
        </w:tc>
        <w:tc>
          <w:tcPr>
            <w:tcW w:w="2220" w:type="dxa"/>
            <w:noWrap w:val="0"/>
            <w:vAlign w:val="center"/>
          </w:tcPr>
          <w:p w14:paraId="0FA17116">
            <w:pPr>
              <w:adjustRightInd w:val="0"/>
              <w:snapToGrid w:val="0"/>
              <w:spacing w:before="50" w:line="360" w:lineRule="auto"/>
              <w:jc w:val="center"/>
              <w:rPr>
                <w:rFonts w:hint="eastAsia" w:ascii="宋体" w:hAnsi="宋体"/>
                <w:color w:val="auto"/>
                <w:szCs w:val="21"/>
              </w:rPr>
            </w:pPr>
            <w:r>
              <w:rPr>
                <w:rFonts w:hint="eastAsia" w:ascii="宋体" w:hAnsi="宋体"/>
                <w:color w:val="auto"/>
                <w:szCs w:val="21"/>
              </w:rPr>
              <w:t>响应文件的递交</w:t>
            </w:r>
          </w:p>
          <w:p w14:paraId="6EDD3B07">
            <w:pPr>
              <w:adjustRightInd w:val="0"/>
              <w:snapToGrid w:val="0"/>
              <w:spacing w:before="50" w:line="360" w:lineRule="auto"/>
              <w:jc w:val="center"/>
              <w:rPr>
                <w:rFonts w:ascii="宋体" w:hAnsi="宋体"/>
                <w:color w:val="auto"/>
                <w:szCs w:val="21"/>
              </w:rPr>
            </w:pPr>
            <w:r>
              <w:rPr>
                <w:rFonts w:hint="eastAsia" w:ascii="宋体" w:hAnsi="宋体"/>
                <w:bCs/>
                <w:color w:val="auto"/>
                <w:szCs w:val="21"/>
              </w:rPr>
              <w:t>时间和</w:t>
            </w:r>
            <w:r>
              <w:rPr>
                <w:rFonts w:hint="eastAsia" w:ascii="宋体" w:hAnsi="宋体"/>
                <w:color w:val="auto"/>
                <w:szCs w:val="21"/>
              </w:rPr>
              <w:t>地点</w:t>
            </w:r>
          </w:p>
        </w:tc>
        <w:tc>
          <w:tcPr>
            <w:tcW w:w="6398" w:type="dxa"/>
            <w:noWrap w:val="0"/>
            <w:vAlign w:val="center"/>
          </w:tcPr>
          <w:p w14:paraId="747E1506">
            <w:pPr>
              <w:adjustRightInd w:val="0"/>
              <w:snapToGrid w:val="0"/>
              <w:spacing w:line="360" w:lineRule="auto"/>
              <w:rPr>
                <w:rFonts w:hint="eastAsia" w:ascii="宋体" w:hAnsi="宋体" w:eastAsia="宋体"/>
                <w:b/>
                <w:bCs/>
                <w:color w:val="auto"/>
                <w:szCs w:val="21"/>
                <w:highlight w:val="yellow"/>
                <w:u w:val="none"/>
                <w:lang w:eastAsia="zh-CN"/>
              </w:rPr>
            </w:pPr>
            <w:r>
              <w:rPr>
                <w:rFonts w:hint="eastAsia" w:ascii="宋体" w:hAnsi="宋体"/>
                <w:b/>
                <w:bCs/>
                <w:color w:val="auto"/>
                <w:szCs w:val="21"/>
                <w:u w:val="none"/>
                <w:lang w:eastAsia="zh-CN"/>
              </w:rPr>
              <w:t>时间：</w:t>
            </w:r>
            <w:r>
              <w:rPr>
                <w:rFonts w:hint="eastAsia" w:ascii="宋体" w:hAnsi="宋体" w:eastAsia="宋体" w:cs="宋体"/>
                <w:i w:val="0"/>
                <w:iCs w:val="0"/>
                <w:caps w:val="0"/>
                <w:color w:val="auto"/>
                <w:spacing w:val="0"/>
                <w:kern w:val="0"/>
                <w:sz w:val="21"/>
                <w:szCs w:val="21"/>
                <w:highlight w:val="none"/>
                <w:u w:val="single"/>
                <w:lang w:val="en-US" w:eastAsia="zh-CN" w:bidi="ar"/>
              </w:rPr>
              <w:t>202</w:t>
            </w:r>
            <w:r>
              <w:rPr>
                <w:rFonts w:hint="eastAsia" w:ascii="宋体" w:hAnsi="宋体" w:cs="宋体"/>
                <w:i w:val="0"/>
                <w:iCs w:val="0"/>
                <w:caps w:val="0"/>
                <w:color w:val="auto"/>
                <w:spacing w:val="0"/>
                <w:kern w:val="0"/>
                <w:sz w:val="21"/>
                <w:szCs w:val="21"/>
                <w:highlight w:val="none"/>
                <w:u w:val="single"/>
                <w:lang w:val="en-US" w:eastAsia="zh-CN" w:bidi="ar"/>
              </w:rPr>
              <w:t xml:space="preserve">6 </w:t>
            </w:r>
            <w:r>
              <w:rPr>
                <w:rFonts w:hint="eastAsia" w:ascii="宋体" w:hAnsi="宋体" w:eastAsia="宋体" w:cs="宋体"/>
                <w:i w:val="0"/>
                <w:iCs w:val="0"/>
                <w:caps w:val="0"/>
                <w:color w:val="auto"/>
                <w:spacing w:val="0"/>
                <w:kern w:val="0"/>
                <w:sz w:val="21"/>
                <w:szCs w:val="21"/>
                <w:highlight w:val="none"/>
                <w:lang w:val="en-US" w:eastAsia="zh-CN" w:bidi="ar"/>
              </w:rPr>
              <w:t>年</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cs="宋体"/>
                <w:i w:val="0"/>
                <w:iCs w:val="0"/>
                <w:caps w:val="0"/>
                <w:color w:val="auto"/>
                <w:spacing w:val="0"/>
                <w:kern w:val="0"/>
                <w:sz w:val="21"/>
                <w:szCs w:val="21"/>
                <w:highlight w:val="none"/>
                <w:u w:val="single"/>
                <w:lang w:val="en-US" w:eastAsia="zh-CN" w:bidi="ar"/>
              </w:rPr>
              <w:t>1</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eastAsia="宋体" w:cs="宋体"/>
                <w:i w:val="0"/>
                <w:iCs w:val="0"/>
                <w:caps w:val="0"/>
                <w:color w:val="auto"/>
                <w:spacing w:val="0"/>
                <w:kern w:val="0"/>
                <w:sz w:val="21"/>
                <w:szCs w:val="21"/>
                <w:highlight w:val="none"/>
                <w:lang w:val="en-US" w:eastAsia="zh-CN" w:bidi="ar"/>
              </w:rPr>
              <w:t>月</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cs="宋体"/>
                <w:i w:val="0"/>
                <w:iCs w:val="0"/>
                <w:caps w:val="0"/>
                <w:color w:val="auto"/>
                <w:spacing w:val="0"/>
                <w:kern w:val="0"/>
                <w:sz w:val="21"/>
                <w:szCs w:val="21"/>
                <w:highlight w:val="none"/>
                <w:u w:val="single"/>
                <w:lang w:val="en-US" w:eastAsia="zh-CN" w:bidi="ar"/>
              </w:rPr>
              <w:t>22</w:t>
            </w:r>
            <w:bookmarkStart w:id="394" w:name="_GoBack"/>
            <w:bookmarkEnd w:id="394"/>
            <w:r>
              <w:rPr>
                <w:rFonts w:hint="eastAsia" w:ascii="宋体" w:hAnsi="宋体" w:cs="宋体"/>
                <w:i w:val="0"/>
                <w:iCs w:val="0"/>
                <w:caps w:val="0"/>
                <w:color w:val="auto"/>
                <w:spacing w:val="0"/>
                <w:kern w:val="0"/>
                <w:sz w:val="21"/>
                <w:szCs w:val="21"/>
                <w:highlight w:val="none"/>
                <w:u w:val="single"/>
                <w:lang w:val="en-US" w:eastAsia="zh-CN" w:bidi="ar"/>
              </w:rPr>
              <w:t xml:space="preserve"> </w:t>
            </w:r>
            <w:r>
              <w:rPr>
                <w:rFonts w:hint="eastAsia" w:ascii="宋体" w:hAnsi="宋体" w:eastAsia="宋体" w:cs="宋体"/>
                <w:i w:val="0"/>
                <w:iCs w:val="0"/>
                <w:caps w:val="0"/>
                <w:color w:val="auto"/>
                <w:spacing w:val="0"/>
                <w:kern w:val="0"/>
                <w:sz w:val="21"/>
                <w:szCs w:val="21"/>
                <w:highlight w:val="none"/>
                <w:u w:val="single"/>
                <w:lang w:val="en-US" w:eastAsia="zh-CN" w:bidi="ar"/>
              </w:rPr>
              <w:t> </w:t>
            </w:r>
            <w:r>
              <w:rPr>
                <w:rFonts w:hint="eastAsia" w:ascii="宋体" w:hAnsi="宋体" w:eastAsia="宋体" w:cs="宋体"/>
                <w:i w:val="0"/>
                <w:iCs w:val="0"/>
                <w:caps w:val="0"/>
                <w:color w:val="auto"/>
                <w:spacing w:val="0"/>
                <w:kern w:val="0"/>
                <w:sz w:val="21"/>
                <w:szCs w:val="21"/>
                <w:highlight w:val="none"/>
                <w:lang w:val="en-US" w:eastAsia="zh-CN" w:bidi="ar"/>
              </w:rPr>
              <w:t>日</w:t>
            </w:r>
            <w:r>
              <w:rPr>
                <w:rFonts w:hint="eastAsia" w:ascii="宋体" w:hAnsi="宋体"/>
                <w:b w:val="0"/>
                <w:bCs w:val="0"/>
                <w:color w:val="auto"/>
                <w:szCs w:val="21"/>
                <w:highlight w:val="none"/>
                <w:lang w:val="en-US" w:eastAsia="zh-CN"/>
              </w:rPr>
              <w:t xml:space="preserve"> </w:t>
            </w:r>
            <w:r>
              <w:rPr>
                <w:rFonts w:hint="eastAsia" w:ascii="宋体" w:hAnsi="宋体"/>
                <w:b w:val="0"/>
                <w:bCs w:val="0"/>
                <w:color w:val="auto"/>
                <w:szCs w:val="21"/>
                <w:highlight w:val="none"/>
                <w:u w:val="single"/>
                <w:lang w:val="en-US" w:eastAsia="zh-CN"/>
              </w:rPr>
              <w:t xml:space="preserve">  10  </w:t>
            </w:r>
            <w:r>
              <w:rPr>
                <w:rFonts w:hint="eastAsia" w:ascii="宋体" w:hAnsi="宋体"/>
                <w:b w:val="0"/>
                <w:bCs w:val="0"/>
                <w:color w:val="auto"/>
                <w:szCs w:val="21"/>
                <w:highlight w:val="none"/>
              </w:rPr>
              <w:t>时</w:t>
            </w:r>
            <w:r>
              <w:rPr>
                <w:rFonts w:hint="eastAsia" w:ascii="宋体" w:hAnsi="宋体"/>
                <w:b w:val="0"/>
                <w:bCs w:val="0"/>
                <w:color w:val="auto"/>
                <w:szCs w:val="21"/>
                <w:highlight w:val="none"/>
                <w:u w:val="single"/>
                <w:lang w:val="en-US" w:eastAsia="zh-CN"/>
              </w:rPr>
              <w:t xml:space="preserve"> 00 </w:t>
            </w:r>
            <w:r>
              <w:rPr>
                <w:rFonts w:hint="eastAsia" w:ascii="宋体" w:hAnsi="宋体"/>
                <w:b w:val="0"/>
                <w:bCs w:val="0"/>
                <w:color w:val="auto"/>
                <w:szCs w:val="21"/>
                <w:highlight w:val="none"/>
              </w:rPr>
              <w:t>分</w:t>
            </w:r>
          </w:p>
          <w:p w14:paraId="0FAF4C7B">
            <w:pPr>
              <w:adjustRightInd w:val="0"/>
              <w:snapToGrid w:val="0"/>
              <w:spacing w:line="360" w:lineRule="auto"/>
              <w:rPr>
                <w:rFonts w:ascii="宋体" w:hAnsi="宋体"/>
                <w:b/>
                <w:bCs/>
                <w:color w:val="auto"/>
                <w:szCs w:val="21"/>
              </w:rPr>
            </w:pPr>
            <w:r>
              <w:rPr>
                <w:rFonts w:hint="eastAsia" w:ascii="宋体" w:hAnsi="宋体"/>
                <w:b/>
                <w:bCs/>
                <w:color w:val="auto"/>
                <w:szCs w:val="21"/>
                <w:u w:val="none"/>
                <w:lang w:eastAsia="zh-CN"/>
              </w:rPr>
              <w:t>地点：怀化市鹤城区文化创意产业园区B10栋406室</w:t>
            </w:r>
          </w:p>
        </w:tc>
      </w:tr>
      <w:tr w14:paraId="2F8C34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0046" w:type="dxa"/>
            <w:gridSpan w:val="3"/>
            <w:noWrap w:val="0"/>
            <w:vAlign w:val="center"/>
          </w:tcPr>
          <w:p w14:paraId="47C8E139">
            <w:pPr>
              <w:adjustRightInd w:val="0"/>
              <w:snapToGrid w:val="0"/>
              <w:spacing w:before="50" w:line="360" w:lineRule="auto"/>
              <w:rPr>
                <w:rFonts w:hint="eastAsia" w:ascii="宋体" w:hAnsi="宋体" w:eastAsia="宋体"/>
                <w:b/>
                <w:bCs/>
                <w:color w:val="auto"/>
                <w:szCs w:val="21"/>
                <w:lang w:eastAsia="zh-CN"/>
              </w:rPr>
            </w:pPr>
            <w:r>
              <w:rPr>
                <w:rFonts w:hint="eastAsia" w:ascii="宋体" w:hAnsi="宋体"/>
                <w:b/>
                <w:bCs/>
                <w:color w:val="auto"/>
                <w:szCs w:val="21"/>
              </w:rPr>
              <w:t>五、响应文件的评审与</w:t>
            </w:r>
            <w:r>
              <w:rPr>
                <w:rFonts w:hint="eastAsia" w:ascii="宋体" w:hAnsi="宋体"/>
                <w:b/>
                <w:bCs/>
                <w:color w:val="auto"/>
                <w:szCs w:val="21"/>
                <w:lang w:eastAsia="zh-CN"/>
              </w:rPr>
              <w:t>磋商</w:t>
            </w:r>
          </w:p>
        </w:tc>
      </w:tr>
      <w:tr w14:paraId="2676CD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6034D2C8">
            <w:pPr>
              <w:adjustRightInd w:val="0"/>
              <w:snapToGrid w:val="0"/>
              <w:spacing w:before="50" w:line="360" w:lineRule="auto"/>
              <w:jc w:val="center"/>
              <w:rPr>
                <w:rFonts w:hint="eastAsia" w:ascii="宋体" w:hAnsi="宋体" w:eastAsia="宋体" w:cs="Times New Roman"/>
                <w:color w:val="auto"/>
                <w:kern w:val="2"/>
                <w:sz w:val="21"/>
                <w:szCs w:val="21"/>
                <w:highlight w:val="green"/>
                <w:lang w:val="en-US" w:eastAsia="zh-CN" w:bidi="ar-SA"/>
              </w:rPr>
            </w:pPr>
            <w:r>
              <w:rPr>
                <w:rFonts w:hint="eastAsia" w:ascii="宋体" w:hAnsi="宋体"/>
                <w:color w:val="auto"/>
                <w:szCs w:val="21"/>
                <w:highlight w:val="none"/>
                <w:lang w:val="en-US" w:eastAsia="zh-CN"/>
              </w:rPr>
              <w:t>第18.1款</w:t>
            </w:r>
          </w:p>
        </w:tc>
        <w:tc>
          <w:tcPr>
            <w:tcW w:w="2220" w:type="dxa"/>
            <w:noWrap w:val="0"/>
            <w:vAlign w:val="center"/>
          </w:tcPr>
          <w:p w14:paraId="31DA17B4">
            <w:pPr>
              <w:adjustRightInd w:val="0"/>
              <w:snapToGrid w:val="0"/>
              <w:spacing w:before="50" w:line="360" w:lineRule="auto"/>
              <w:jc w:val="center"/>
              <w:rPr>
                <w:rFonts w:hint="eastAsia" w:ascii="宋体" w:hAnsi="宋体" w:eastAsia="宋体" w:cs="Times New Roman"/>
                <w:color w:val="auto"/>
                <w:kern w:val="2"/>
                <w:sz w:val="21"/>
                <w:szCs w:val="21"/>
                <w:highlight w:val="green"/>
                <w:lang w:val="en-US" w:eastAsia="zh-CN" w:bidi="ar-SA"/>
              </w:rPr>
            </w:pPr>
            <w:r>
              <w:rPr>
                <w:rFonts w:hint="eastAsia" w:ascii="宋体" w:hAnsi="宋体"/>
                <w:color w:val="auto"/>
                <w:szCs w:val="21"/>
                <w:highlight w:val="none"/>
                <w:lang w:val="en-US" w:eastAsia="zh-CN"/>
              </w:rPr>
              <w:t>供应商应提供的资格审查资料</w:t>
            </w:r>
          </w:p>
        </w:tc>
        <w:tc>
          <w:tcPr>
            <w:tcW w:w="6398" w:type="dxa"/>
            <w:noWrap w:val="0"/>
            <w:vAlign w:val="center"/>
          </w:tcPr>
          <w:p w14:paraId="1BB66378">
            <w:pPr>
              <w:keepNext w:val="0"/>
              <w:keepLines w:val="0"/>
              <w:pageBreakBefore w:val="0"/>
              <w:widowControl w:val="0"/>
              <w:tabs>
                <w:tab w:val="left" w:pos="753"/>
              </w:tabs>
              <w:kinsoku/>
              <w:wordWrap/>
              <w:overflowPunct/>
              <w:topLinePunct w:val="0"/>
              <w:autoSpaceDE/>
              <w:autoSpaceDN/>
              <w:bidi w:val="0"/>
              <w:adjustRightInd w:val="0"/>
              <w:snapToGrid w:val="0"/>
              <w:spacing w:line="360" w:lineRule="auto"/>
              <w:textAlignment w:val="auto"/>
              <w:rPr>
                <w:rFonts w:hint="default" w:ascii="宋体" w:hAnsi="宋体" w:eastAsia="宋体" w:cs="Times New Roman"/>
                <w:b w:val="0"/>
                <w:bCs/>
                <w:color w:val="auto"/>
                <w:kern w:val="2"/>
                <w:sz w:val="21"/>
                <w:szCs w:val="21"/>
                <w:highlight w:val="green"/>
                <w:lang w:val="en-US" w:eastAsia="zh-CN" w:bidi="ar-SA"/>
              </w:rPr>
            </w:pPr>
            <w:r>
              <w:rPr>
                <w:rFonts w:hint="eastAsia" w:ascii="宋体" w:hAnsi="宋体" w:cs="Times New Roman"/>
                <w:szCs w:val="21"/>
                <w:lang w:val="en-US" w:eastAsia="zh-CN"/>
              </w:rPr>
              <w:t>详见资格条件</w:t>
            </w:r>
          </w:p>
        </w:tc>
      </w:tr>
      <w:tr w14:paraId="0D5B0F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29A5FACC">
            <w:pPr>
              <w:adjustRightInd w:val="0"/>
              <w:snapToGrid w:val="0"/>
              <w:spacing w:before="50" w:line="360" w:lineRule="auto"/>
              <w:jc w:val="center"/>
              <w:rPr>
                <w:rFonts w:ascii="宋体" w:hAnsi="宋体"/>
                <w:color w:val="auto"/>
                <w:szCs w:val="21"/>
              </w:rPr>
            </w:pPr>
            <w:r>
              <w:rPr>
                <w:rFonts w:hint="eastAsia" w:ascii="宋体" w:hAnsi="宋体"/>
                <w:color w:val="auto"/>
                <w:szCs w:val="21"/>
              </w:rPr>
              <w:t>第2</w:t>
            </w:r>
            <w:r>
              <w:rPr>
                <w:rFonts w:hint="eastAsia" w:ascii="宋体" w:hAnsi="宋体"/>
                <w:color w:val="auto"/>
                <w:szCs w:val="21"/>
                <w:lang w:val="en-US" w:eastAsia="zh-CN"/>
              </w:rPr>
              <w:t>1</w:t>
            </w:r>
            <w:r>
              <w:rPr>
                <w:rFonts w:hint="eastAsia" w:ascii="宋体" w:hAnsi="宋体"/>
                <w:color w:val="auto"/>
                <w:szCs w:val="21"/>
              </w:rPr>
              <w:t>.4款</w:t>
            </w:r>
          </w:p>
        </w:tc>
        <w:tc>
          <w:tcPr>
            <w:tcW w:w="2220" w:type="dxa"/>
            <w:noWrap w:val="0"/>
            <w:vAlign w:val="center"/>
          </w:tcPr>
          <w:p w14:paraId="491D140D">
            <w:pPr>
              <w:adjustRightInd w:val="0"/>
              <w:snapToGrid w:val="0"/>
              <w:spacing w:before="50" w:line="360" w:lineRule="auto"/>
              <w:jc w:val="center"/>
              <w:rPr>
                <w:rFonts w:ascii="宋体" w:hAnsi="宋体"/>
                <w:color w:val="auto"/>
                <w:szCs w:val="21"/>
              </w:rPr>
            </w:pPr>
            <w:r>
              <w:rPr>
                <w:rFonts w:hint="eastAsia" w:ascii="宋体" w:hAnsi="宋体"/>
                <w:color w:val="auto"/>
                <w:szCs w:val="21"/>
                <w:lang w:eastAsia="zh-CN"/>
              </w:rPr>
              <w:t>磋商</w:t>
            </w:r>
            <w:r>
              <w:rPr>
                <w:rFonts w:hint="eastAsia" w:ascii="宋体" w:hAnsi="宋体"/>
                <w:color w:val="auto"/>
                <w:szCs w:val="21"/>
              </w:rPr>
              <w:t>文件规定的实质性要求和条件</w:t>
            </w:r>
          </w:p>
        </w:tc>
        <w:tc>
          <w:tcPr>
            <w:tcW w:w="6398" w:type="dxa"/>
            <w:noWrap w:val="0"/>
            <w:vAlign w:val="center"/>
          </w:tcPr>
          <w:p w14:paraId="02D23D3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b/>
                <w:bCs/>
                <w:color w:val="auto"/>
                <w:szCs w:val="21"/>
              </w:rPr>
            </w:pPr>
            <w:r>
              <w:rPr>
                <w:rFonts w:hint="eastAsia" w:ascii="宋体" w:hAnsi="宋体" w:eastAsia="宋体"/>
                <w:color w:val="auto"/>
                <w:highlight w:val="none"/>
              </w:rPr>
              <w:t>除法律、法规和</w:t>
            </w:r>
            <w:r>
              <w:rPr>
                <w:rFonts w:hint="eastAsia" w:ascii="宋体" w:hAnsi="宋体" w:eastAsia="宋体"/>
                <w:color w:val="auto"/>
                <w:highlight w:val="none"/>
                <w:lang w:eastAsia="zh-CN"/>
              </w:rPr>
              <w:t>磋商</w:t>
            </w:r>
            <w:r>
              <w:rPr>
                <w:rFonts w:hint="eastAsia" w:ascii="宋体" w:hAnsi="宋体" w:eastAsia="宋体"/>
                <w:color w:val="auto"/>
                <w:highlight w:val="none"/>
              </w:rPr>
              <w:t>文件规定的其他</w:t>
            </w:r>
            <w:r>
              <w:rPr>
                <w:rFonts w:hint="eastAsia" w:ascii="宋体" w:hAnsi="宋体" w:eastAsia="宋体"/>
                <w:color w:val="auto"/>
                <w:highlight w:val="none"/>
                <w:lang w:val="en-US" w:eastAsia="zh-CN"/>
              </w:rPr>
              <w:t>响应</w:t>
            </w:r>
            <w:r>
              <w:rPr>
                <w:rFonts w:hint="eastAsia" w:ascii="宋体" w:hAnsi="宋体" w:eastAsia="宋体"/>
                <w:color w:val="auto"/>
                <w:highlight w:val="none"/>
              </w:rPr>
              <w:t>无效情形外，</w:t>
            </w:r>
            <w:r>
              <w:rPr>
                <w:rFonts w:hint="eastAsia" w:ascii="宋体" w:hAnsi="宋体"/>
                <w:b w:val="0"/>
                <w:bCs/>
                <w:color w:val="auto"/>
                <w:sz w:val="21"/>
                <w:szCs w:val="21"/>
                <w:highlight w:val="none"/>
              </w:rPr>
              <w:t>对</w:t>
            </w:r>
            <w:r>
              <w:rPr>
                <w:rFonts w:hint="eastAsia"/>
                <w:b w:val="0"/>
                <w:bCs/>
                <w:color w:val="auto"/>
                <w:sz w:val="21"/>
                <w:szCs w:val="21"/>
                <w:highlight w:val="none"/>
                <w:lang w:eastAsia="zh-CN"/>
              </w:rPr>
              <w:t>磋商文件中</w:t>
            </w:r>
            <w:r>
              <w:rPr>
                <w:rFonts w:hint="eastAsia" w:ascii="宋体" w:hAnsi="宋体"/>
                <w:b w:val="0"/>
                <w:bCs/>
                <w:color w:val="auto"/>
                <w:sz w:val="21"/>
                <w:szCs w:val="21"/>
                <w:highlight w:val="none"/>
              </w:rPr>
              <w:t>任何一条的偏离，</w:t>
            </w:r>
            <w:r>
              <w:rPr>
                <w:rFonts w:hint="eastAsia"/>
                <w:b w:val="0"/>
                <w:bCs/>
                <w:color w:val="auto"/>
                <w:sz w:val="21"/>
                <w:szCs w:val="21"/>
                <w:highlight w:val="none"/>
                <w:lang w:eastAsia="zh-CN"/>
              </w:rPr>
              <w:t>为实质性偏离，按响应无效处理</w:t>
            </w:r>
            <w:r>
              <w:rPr>
                <w:rFonts w:hint="eastAsia" w:ascii="宋体" w:hAnsi="宋体"/>
                <w:b w:val="0"/>
                <w:bCs/>
                <w:color w:val="auto"/>
                <w:sz w:val="21"/>
                <w:szCs w:val="21"/>
                <w:highlight w:val="none"/>
              </w:rPr>
              <w:t>。</w:t>
            </w:r>
            <w:r>
              <w:rPr>
                <w:rFonts w:hint="eastAsia" w:ascii="宋体" w:hAnsi="宋体"/>
                <w:b w:val="0"/>
                <w:bCs/>
                <w:color w:val="auto"/>
                <w:sz w:val="21"/>
                <w:szCs w:val="21"/>
                <w:highlight w:val="none"/>
                <w:lang w:val="en-US" w:eastAsia="zh-CN"/>
              </w:rPr>
              <w:t>在磋商过程中，经采购人代表确认的</w:t>
            </w:r>
            <w:r>
              <w:rPr>
                <w:rFonts w:hint="eastAsia" w:ascii="宋体" w:hAnsi="宋体" w:eastAsia="宋体" w:cs="宋体"/>
                <w:color w:val="auto"/>
                <w:kern w:val="0"/>
                <w:sz w:val="21"/>
                <w:szCs w:val="21"/>
                <w:highlight w:val="none"/>
              </w:rPr>
              <w:t>实质性变动内容除外。</w:t>
            </w:r>
          </w:p>
        </w:tc>
      </w:tr>
      <w:tr w14:paraId="03424B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1CD5FC06">
            <w:pPr>
              <w:adjustRightInd w:val="0"/>
              <w:snapToGrid w:val="0"/>
              <w:spacing w:before="50" w:line="360" w:lineRule="auto"/>
              <w:jc w:val="center"/>
              <w:rPr>
                <w:rFonts w:ascii="宋体" w:hAnsi="宋体"/>
                <w:color w:val="auto"/>
                <w:szCs w:val="21"/>
              </w:rPr>
            </w:pPr>
            <w:r>
              <w:rPr>
                <w:rFonts w:hint="eastAsia" w:ascii="宋体" w:hAnsi="宋体"/>
                <w:color w:val="auto"/>
                <w:szCs w:val="21"/>
              </w:rPr>
              <w:t>第2</w:t>
            </w:r>
            <w:r>
              <w:rPr>
                <w:rFonts w:hint="eastAsia" w:ascii="宋体" w:hAnsi="宋体"/>
                <w:color w:val="auto"/>
                <w:szCs w:val="21"/>
                <w:lang w:val="en-US" w:eastAsia="zh-CN"/>
              </w:rPr>
              <w:t>7</w:t>
            </w:r>
            <w:r>
              <w:rPr>
                <w:rFonts w:hint="eastAsia" w:ascii="宋体" w:hAnsi="宋体"/>
                <w:color w:val="auto"/>
                <w:szCs w:val="21"/>
              </w:rPr>
              <w:t>.3款</w:t>
            </w:r>
          </w:p>
        </w:tc>
        <w:tc>
          <w:tcPr>
            <w:tcW w:w="2220" w:type="dxa"/>
            <w:noWrap w:val="0"/>
            <w:vAlign w:val="center"/>
          </w:tcPr>
          <w:p w14:paraId="31F1FFFD">
            <w:pPr>
              <w:adjustRightInd w:val="0"/>
              <w:snapToGrid w:val="0"/>
              <w:spacing w:before="50" w:line="360" w:lineRule="auto"/>
              <w:rPr>
                <w:rFonts w:ascii="宋体" w:hAnsi="宋体"/>
                <w:color w:val="auto"/>
                <w:szCs w:val="21"/>
              </w:rPr>
            </w:pPr>
            <w:r>
              <w:rPr>
                <w:rFonts w:hint="eastAsia" w:ascii="宋体" w:hAnsi="宋体"/>
                <w:bCs/>
                <w:color w:val="auto"/>
                <w:szCs w:val="21"/>
              </w:rPr>
              <w:t>最后报价的算术修正</w:t>
            </w:r>
          </w:p>
        </w:tc>
        <w:tc>
          <w:tcPr>
            <w:tcW w:w="6398" w:type="dxa"/>
            <w:noWrap w:val="0"/>
            <w:vAlign w:val="center"/>
          </w:tcPr>
          <w:p w14:paraId="339F91D6">
            <w:pPr>
              <w:adjustRightInd w:val="0"/>
              <w:snapToGrid w:val="0"/>
              <w:spacing w:line="360" w:lineRule="auto"/>
              <w:rPr>
                <w:rFonts w:hint="eastAsia" w:ascii="宋体" w:hAnsi="宋体" w:eastAsia="宋体"/>
                <w:b/>
                <w:bCs/>
                <w:color w:val="auto"/>
                <w:szCs w:val="21"/>
                <w:lang w:val="en-US" w:eastAsia="zh-CN"/>
              </w:rPr>
            </w:pPr>
            <w:r>
              <w:rPr>
                <w:rFonts w:hint="eastAsia" w:ascii="宋体" w:hAnsi="宋体"/>
                <w:b/>
                <w:bCs/>
                <w:color w:val="auto"/>
                <w:szCs w:val="21"/>
                <w:lang w:val="en-US" w:eastAsia="zh-CN"/>
              </w:rPr>
              <w:t>/</w:t>
            </w:r>
          </w:p>
        </w:tc>
      </w:tr>
      <w:tr w14:paraId="2A217D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0046" w:type="dxa"/>
            <w:gridSpan w:val="3"/>
            <w:noWrap w:val="0"/>
            <w:vAlign w:val="center"/>
          </w:tcPr>
          <w:p w14:paraId="01D626DE">
            <w:pPr>
              <w:adjustRightInd w:val="0"/>
              <w:snapToGrid w:val="0"/>
              <w:spacing w:before="50" w:line="360" w:lineRule="auto"/>
              <w:rPr>
                <w:rFonts w:ascii="宋体" w:hAnsi="宋体"/>
                <w:color w:val="auto"/>
                <w:szCs w:val="21"/>
              </w:rPr>
            </w:pPr>
            <w:r>
              <w:rPr>
                <w:rFonts w:hint="eastAsia" w:ascii="宋体" w:hAnsi="宋体"/>
                <w:b/>
                <w:color w:val="auto"/>
                <w:szCs w:val="21"/>
              </w:rPr>
              <w:t>六、成交结果信息公布与授予合同</w:t>
            </w:r>
          </w:p>
        </w:tc>
      </w:tr>
      <w:tr w14:paraId="7425C7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483A3221">
            <w:pPr>
              <w:adjustRightInd w:val="0"/>
              <w:snapToGrid w:val="0"/>
              <w:spacing w:before="50" w:line="360" w:lineRule="auto"/>
              <w:jc w:val="center"/>
              <w:rPr>
                <w:rFonts w:ascii="宋体" w:hAnsi="宋体"/>
                <w:color w:val="auto"/>
                <w:szCs w:val="21"/>
              </w:rPr>
            </w:pPr>
            <w:r>
              <w:rPr>
                <w:rFonts w:hint="eastAsia" w:ascii="宋体" w:hAnsi="宋体"/>
                <w:color w:val="auto"/>
                <w:szCs w:val="21"/>
              </w:rPr>
              <w:t>第3</w:t>
            </w:r>
            <w:r>
              <w:rPr>
                <w:rFonts w:hint="eastAsia" w:ascii="宋体" w:hAnsi="宋体"/>
                <w:color w:val="auto"/>
                <w:szCs w:val="21"/>
                <w:lang w:val="en-US" w:eastAsia="zh-CN"/>
              </w:rPr>
              <w:t>3</w:t>
            </w:r>
            <w:r>
              <w:rPr>
                <w:rFonts w:hint="eastAsia" w:ascii="宋体" w:hAnsi="宋体"/>
                <w:color w:val="auto"/>
                <w:szCs w:val="21"/>
              </w:rPr>
              <w:t>.1款</w:t>
            </w:r>
          </w:p>
        </w:tc>
        <w:tc>
          <w:tcPr>
            <w:tcW w:w="2220" w:type="dxa"/>
            <w:noWrap w:val="0"/>
            <w:vAlign w:val="center"/>
          </w:tcPr>
          <w:p w14:paraId="1C85154B">
            <w:pPr>
              <w:adjustRightInd w:val="0"/>
              <w:snapToGrid w:val="0"/>
              <w:spacing w:before="50" w:line="360" w:lineRule="auto"/>
              <w:jc w:val="center"/>
              <w:rPr>
                <w:rFonts w:ascii="宋体" w:hAnsi="宋体"/>
                <w:color w:val="auto"/>
                <w:szCs w:val="21"/>
              </w:rPr>
            </w:pPr>
            <w:r>
              <w:rPr>
                <w:rFonts w:hint="eastAsia" w:ascii="宋体" w:hAnsi="宋体"/>
                <w:color w:val="auto"/>
                <w:szCs w:val="21"/>
              </w:rPr>
              <w:t>指定的媒体</w:t>
            </w:r>
          </w:p>
        </w:tc>
        <w:tc>
          <w:tcPr>
            <w:tcW w:w="6398" w:type="dxa"/>
            <w:noWrap w:val="0"/>
            <w:vAlign w:val="center"/>
          </w:tcPr>
          <w:p w14:paraId="3F658986">
            <w:pPr>
              <w:adjustRightInd w:val="0"/>
              <w:snapToGrid w:val="0"/>
              <w:spacing w:before="50" w:line="360" w:lineRule="auto"/>
              <w:rPr>
                <w:rFonts w:ascii="宋体" w:hAnsi="宋体"/>
                <w:color w:val="auto"/>
                <w:szCs w:val="21"/>
                <w:u w:val="single"/>
              </w:rPr>
            </w:pPr>
            <w:r>
              <w:rPr>
                <w:rFonts w:hint="eastAsia" w:ascii="宋体" w:hAnsi="宋体"/>
                <w:color w:val="auto"/>
                <w:szCs w:val="21"/>
                <w:u w:val="none"/>
              </w:rPr>
              <w:t>鹤城区人民政府门户网站（http://www.hechengqu.gov.cn/）</w:t>
            </w:r>
          </w:p>
        </w:tc>
      </w:tr>
      <w:tr w14:paraId="4A1752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409A44F7">
            <w:pPr>
              <w:adjustRightInd w:val="0"/>
              <w:snapToGrid w:val="0"/>
              <w:spacing w:before="50" w:line="360" w:lineRule="auto"/>
              <w:jc w:val="center"/>
              <w:rPr>
                <w:rFonts w:ascii="宋体" w:hAnsi="宋体"/>
                <w:color w:val="auto"/>
                <w:szCs w:val="21"/>
              </w:rPr>
            </w:pPr>
            <w:r>
              <w:rPr>
                <w:rFonts w:hint="eastAsia" w:ascii="宋体" w:hAnsi="宋体"/>
                <w:color w:val="auto"/>
                <w:szCs w:val="21"/>
              </w:rPr>
              <w:t>第3</w:t>
            </w:r>
            <w:r>
              <w:rPr>
                <w:rFonts w:hint="eastAsia" w:ascii="宋体" w:hAnsi="宋体"/>
                <w:color w:val="auto"/>
                <w:szCs w:val="21"/>
                <w:lang w:val="en-US" w:eastAsia="zh-CN"/>
              </w:rPr>
              <w:t>5</w:t>
            </w:r>
            <w:r>
              <w:rPr>
                <w:rFonts w:hint="eastAsia" w:ascii="宋体" w:hAnsi="宋体"/>
                <w:color w:val="auto"/>
                <w:szCs w:val="21"/>
              </w:rPr>
              <w:t>.1款</w:t>
            </w:r>
          </w:p>
        </w:tc>
        <w:tc>
          <w:tcPr>
            <w:tcW w:w="2220" w:type="dxa"/>
            <w:noWrap w:val="0"/>
            <w:vAlign w:val="center"/>
          </w:tcPr>
          <w:p w14:paraId="4800BA13">
            <w:pPr>
              <w:adjustRightInd w:val="0"/>
              <w:snapToGrid w:val="0"/>
              <w:spacing w:before="50" w:line="360" w:lineRule="auto"/>
              <w:jc w:val="center"/>
              <w:rPr>
                <w:rFonts w:ascii="宋体" w:hAnsi="宋体"/>
                <w:color w:val="auto"/>
                <w:szCs w:val="21"/>
              </w:rPr>
            </w:pPr>
            <w:r>
              <w:rPr>
                <w:rFonts w:hint="eastAsia" w:ascii="宋体" w:hAnsi="宋体"/>
                <w:color w:val="auto"/>
                <w:szCs w:val="21"/>
              </w:rPr>
              <w:t>履约担保</w:t>
            </w:r>
          </w:p>
        </w:tc>
        <w:tc>
          <w:tcPr>
            <w:tcW w:w="6398" w:type="dxa"/>
            <w:noWrap w:val="0"/>
            <w:vAlign w:val="center"/>
          </w:tcPr>
          <w:p w14:paraId="52C9053A">
            <w:pPr>
              <w:adjustRightInd w:val="0"/>
              <w:snapToGrid w:val="0"/>
              <w:spacing w:line="360" w:lineRule="auto"/>
              <w:rPr>
                <w:rFonts w:ascii="宋体" w:hAnsi="宋体"/>
                <w:color w:val="auto"/>
                <w:szCs w:val="21"/>
              </w:rPr>
            </w:pPr>
            <w:r>
              <w:rPr>
                <w:rFonts w:hint="eastAsia" w:ascii="宋体" w:hAnsi="宋体" w:cs="宋体"/>
                <w:color w:val="auto"/>
              </w:rPr>
              <w:t>不要求提供</w:t>
            </w:r>
          </w:p>
        </w:tc>
      </w:tr>
      <w:tr w14:paraId="1B47E7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0046" w:type="dxa"/>
            <w:gridSpan w:val="3"/>
            <w:noWrap w:val="0"/>
            <w:vAlign w:val="center"/>
          </w:tcPr>
          <w:p w14:paraId="2AD8835E">
            <w:pPr>
              <w:adjustRightInd w:val="0"/>
              <w:snapToGrid w:val="0"/>
              <w:spacing w:before="50" w:line="360" w:lineRule="auto"/>
              <w:rPr>
                <w:rFonts w:ascii="宋体" w:hAnsi="宋体"/>
                <w:b/>
                <w:color w:val="auto"/>
                <w:szCs w:val="21"/>
              </w:rPr>
            </w:pPr>
            <w:r>
              <w:rPr>
                <w:rFonts w:hint="eastAsia" w:ascii="宋体" w:hAnsi="宋体"/>
                <w:b/>
                <w:color w:val="auto"/>
                <w:szCs w:val="21"/>
              </w:rPr>
              <w:t>七、政府采购政策</w:t>
            </w:r>
          </w:p>
        </w:tc>
      </w:tr>
      <w:tr w14:paraId="3AE08F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43787675">
            <w:pPr>
              <w:adjustRightInd w:val="0"/>
              <w:snapToGrid w:val="0"/>
              <w:spacing w:before="50" w:line="360" w:lineRule="auto"/>
              <w:jc w:val="center"/>
              <w:rPr>
                <w:rFonts w:ascii="宋体" w:hAnsi="宋体"/>
                <w:color w:val="auto"/>
                <w:szCs w:val="21"/>
              </w:rPr>
            </w:pPr>
            <w:r>
              <w:rPr>
                <w:rFonts w:hint="eastAsia" w:ascii="宋体" w:hAnsi="宋体"/>
                <w:color w:val="auto"/>
                <w:szCs w:val="21"/>
              </w:rPr>
              <w:t>第</w:t>
            </w:r>
            <w:r>
              <w:rPr>
                <w:rFonts w:ascii="宋体" w:hAnsi="宋体"/>
                <w:color w:val="auto"/>
                <w:szCs w:val="21"/>
              </w:rPr>
              <w:t>4</w:t>
            </w:r>
            <w:r>
              <w:rPr>
                <w:rFonts w:hint="eastAsia" w:ascii="宋体" w:hAnsi="宋体"/>
                <w:color w:val="auto"/>
                <w:szCs w:val="21"/>
                <w:lang w:val="en-US" w:eastAsia="zh-CN"/>
              </w:rPr>
              <w:t>0</w:t>
            </w:r>
            <w:r>
              <w:rPr>
                <w:rFonts w:hint="eastAsia" w:ascii="宋体" w:hAnsi="宋体"/>
                <w:color w:val="auto"/>
                <w:szCs w:val="21"/>
              </w:rPr>
              <w:t>.</w:t>
            </w:r>
            <w:r>
              <w:rPr>
                <w:rFonts w:ascii="宋体" w:hAnsi="宋体"/>
                <w:color w:val="auto"/>
                <w:szCs w:val="21"/>
              </w:rPr>
              <w:t>2</w:t>
            </w:r>
          </w:p>
          <w:p w14:paraId="059A2E21">
            <w:pPr>
              <w:adjustRightInd w:val="0"/>
              <w:snapToGrid w:val="0"/>
              <w:spacing w:before="50" w:line="360" w:lineRule="auto"/>
              <w:jc w:val="center"/>
              <w:rPr>
                <w:rFonts w:ascii="宋体" w:hAnsi="宋体"/>
                <w:color w:val="auto"/>
                <w:szCs w:val="21"/>
              </w:rPr>
            </w:pPr>
            <w:r>
              <w:rPr>
                <w:rFonts w:hint="eastAsia" w:ascii="宋体" w:hAnsi="宋体"/>
                <w:color w:val="auto"/>
                <w:szCs w:val="21"/>
              </w:rPr>
              <w:t>（1）项</w:t>
            </w:r>
          </w:p>
        </w:tc>
        <w:tc>
          <w:tcPr>
            <w:tcW w:w="2220" w:type="dxa"/>
            <w:noWrap w:val="0"/>
            <w:vAlign w:val="center"/>
          </w:tcPr>
          <w:p w14:paraId="6C32D9F5">
            <w:pPr>
              <w:adjustRightInd w:val="0"/>
              <w:snapToGrid w:val="0"/>
              <w:spacing w:before="50" w:line="360" w:lineRule="auto"/>
              <w:jc w:val="center"/>
              <w:rPr>
                <w:rFonts w:ascii="宋体" w:hAnsi="宋体"/>
                <w:color w:val="auto"/>
                <w:szCs w:val="21"/>
              </w:rPr>
            </w:pPr>
            <w:r>
              <w:rPr>
                <w:rFonts w:hint="eastAsia" w:ascii="宋体" w:hAnsi="宋体"/>
                <w:color w:val="auto"/>
                <w:szCs w:val="21"/>
              </w:rPr>
              <w:t>小型、微型企业的价格折扣比例</w:t>
            </w:r>
          </w:p>
        </w:tc>
        <w:tc>
          <w:tcPr>
            <w:tcW w:w="6398" w:type="dxa"/>
            <w:noWrap w:val="0"/>
            <w:vAlign w:val="center"/>
          </w:tcPr>
          <w:p w14:paraId="33396730">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jc w:val="both"/>
              <w:textAlignment w:val="auto"/>
              <w:rPr>
                <w:rFonts w:ascii="宋体" w:hAnsi="宋体"/>
                <w:color w:val="auto"/>
                <w:szCs w:val="21"/>
              </w:rPr>
            </w:pPr>
            <w:r>
              <w:rPr>
                <w:rFonts w:hint="eastAsia" w:cs="宋体"/>
                <w:color w:val="auto"/>
                <w:kern w:val="2"/>
                <w:sz w:val="21"/>
                <w:szCs w:val="21"/>
                <w:lang w:val="en-US" w:eastAsia="zh-CN" w:bidi="ar-SA"/>
              </w:rPr>
              <w:t>/</w:t>
            </w:r>
          </w:p>
        </w:tc>
      </w:tr>
      <w:tr w14:paraId="36B23F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01729BFC">
            <w:pPr>
              <w:adjustRightInd w:val="0"/>
              <w:snapToGrid w:val="0"/>
              <w:spacing w:before="50" w:line="360" w:lineRule="auto"/>
              <w:jc w:val="center"/>
              <w:rPr>
                <w:rFonts w:ascii="宋体" w:hAnsi="宋体"/>
                <w:color w:val="auto"/>
                <w:szCs w:val="21"/>
              </w:rPr>
            </w:pPr>
            <w:r>
              <w:rPr>
                <w:rFonts w:hint="eastAsia" w:ascii="宋体" w:hAnsi="宋体"/>
                <w:color w:val="auto"/>
                <w:szCs w:val="21"/>
              </w:rPr>
              <w:t>第</w:t>
            </w:r>
            <w:r>
              <w:rPr>
                <w:rFonts w:ascii="宋体" w:hAnsi="宋体"/>
                <w:color w:val="auto"/>
                <w:szCs w:val="21"/>
              </w:rPr>
              <w:t>4</w:t>
            </w:r>
            <w:r>
              <w:rPr>
                <w:rFonts w:hint="eastAsia" w:ascii="宋体" w:hAnsi="宋体"/>
                <w:color w:val="auto"/>
                <w:szCs w:val="21"/>
                <w:lang w:val="en-US" w:eastAsia="zh-CN"/>
              </w:rPr>
              <w:t>0</w:t>
            </w:r>
            <w:r>
              <w:rPr>
                <w:rFonts w:hint="eastAsia" w:ascii="宋体" w:hAnsi="宋体"/>
                <w:color w:val="auto"/>
                <w:szCs w:val="21"/>
              </w:rPr>
              <w:t>.</w:t>
            </w:r>
            <w:r>
              <w:rPr>
                <w:rFonts w:ascii="宋体" w:hAnsi="宋体"/>
                <w:color w:val="auto"/>
                <w:szCs w:val="21"/>
              </w:rPr>
              <w:t>2</w:t>
            </w:r>
          </w:p>
          <w:p w14:paraId="05EDBB0A">
            <w:pPr>
              <w:adjustRightInd w:val="0"/>
              <w:snapToGrid w:val="0"/>
              <w:spacing w:before="50" w:line="360" w:lineRule="auto"/>
              <w:jc w:val="center"/>
              <w:rPr>
                <w:rFonts w:ascii="宋体" w:hAnsi="宋体"/>
                <w:color w:val="auto"/>
                <w:szCs w:val="21"/>
              </w:rPr>
            </w:pPr>
            <w:r>
              <w:rPr>
                <w:rFonts w:hint="eastAsia" w:ascii="宋体" w:hAnsi="宋体"/>
                <w:color w:val="auto"/>
                <w:szCs w:val="21"/>
              </w:rPr>
              <w:t>（2）项</w:t>
            </w:r>
          </w:p>
        </w:tc>
        <w:tc>
          <w:tcPr>
            <w:tcW w:w="2220" w:type="dxa"/>
            <w:noWrap w:val="0"/>
            <w:vAlign w:val="center"/>
          </w:tcPr>
          <w:p w14:paraId="49A18DEE">
            <w:pPr>
              <w:adjustRightInd w:val="0"/>
              <w:snapToGrid w:val="0"/>
              <w:spacing w:before="50" w:line="360" w:lineRule="auto"/>
              <w:jc w:val="center"/>
              <w:rPr>
                <w:rFonts w:ascii="宋体" w:hAnsi="宋体"/>
                <w:color w:val="auto"/>
                <w:szCs w:val="21"/>
              </w:rPr>
            </w:pPr>
            <w:r>
              <w:rPr>
                <w:rFonts w:hint="eastAsia" w:ascii="宋体" w:hAnsi="宋体"/>
                <w:color w:val="auto"/>
                <w:szCs w:val="21"/>
              </w:rPr>
              <w:t>小型、微型企业组成联合体或者大中型企业向小微企业分包的价格折扣比例</w:t>
            </w:r>
          </w:p>
        </w:tc>
        <w:tc>
          <w:tcPr>
            <w:tcW w:w="6398" w:type="dxa"/>
            <w:noWrap w:val="0"/>
            <w:vAlign w:val="center"/>
          </w:tcPr>
          <w:p w14:paraId="33A4C528">
            <w:pPr>
              <w:adjustRightInd w:val="0"/>
              <w:snapToGrid w:val="0"/>
              <w:spacing w:line="360" w:lineRule="auto"/>
              <w:rPr>
                <w:rFonts w:hint="eastAsia" w:ascii="宋体" w:hAnsi="宋体" w:eastAsia="宋体"/>
                <w:color w:val="auto"/>
                <w:szCs w:val="21"/>
                <w:lang w:eastAsia="zh-CN"/>
              </w:rPr>
            </w:pPr>
            <w:r>
              <w:rPr>
                <w:rFonts w:hint="eastAsia" w:ascii="宋体" w:hAnsi="宋体"/>
                <w:color w:val="auto"/>
                <w:szCs w:val="21"/>
              </w:rPr>
              <w:t>本次</w:t>
            </w:r>
            <w:r>
              <w:rPr>
                <w:rFonts w:hint="eastAsia" w:ascii="宋体" w:hAnsi="宋体"/>
                <w:color w:val="auto"/>
                <w:szCs w:val="21"/>
                <w:lang w:eastAsia="zh-CN"/>
              </w:rPr>
              <w:t>磋商</w:t>
            </w:r>
            <w:r>
              <w:rPr>
                <w:rFonts w:hint="eastAsia" w:ascii="宋体" w:hAnsi="宋体"/>
                <w:color w:val="auto"/>
                <w:szCs w:val="21"/>
              </w:rPr>
              <w:t>采购</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不</w:t>
            </w:r>
            <w:r>
              <w:rPr>
                <w:rFonts w:hint="eastAsia" w:ascii="宋体" w:hAnsi="宋体"/>
                <w:color w:val="auto"/>
                <w:szCs w:val="21"/>
                <w:u w:val="single"/>
              </w:rPr>
              <w:t xml:space="preserve">接受  </w:t>
            </w:r>
            <w:r>
              <w:rPr>
                <w:rFonts w:hint="eastAsia" w:ascii="宋体" w:hAnsi="宋体"/>
                <w:color w:val="auto"/>
                <w:szCs w:val="21"/>
              </w:rPr>
              <w:t>供应商为联合体形式</w:t>
            </w:r>
          </w:p>
        </w:tc>
      </w:tr>
      <w:tr w14:paraId="2B67B3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1638E9E3">
            <w:pPr>
              <w:adjustRightInd w:val="0"/>
              <w:snapToGrid w:val="0"/>
              <w:spacing w:before="50" w:line="360" w:lineRule="auto"/>
              <w:jc w:val="center"/>
              <w:rPr>
                <w:rFonts w:ascii="宋体" w:hAnsi="宋体"/>
                <w:color w:val="auto"/>
                <w:szCs w:val="21"/>
              </w:rPr>
            </w:pPr>
            <w:r>
              <w:rPr>
                <w:rFonts w:hint="eastAsia" w:ascii="宋体" w:hAnsi="宋体"/>
                <w:color w:val="auto"/>
                <w:szCs w:val="21"/>
              </w:rPr>
              <w:t>第4</w:t>
            </w:r>
            <w:r>
              <w:rPr>
                <w:rFonts w:hint="eastAsia" w:ascii="宋体" w:hAnsi="宋体"/>
                <w:color w:val="auto"/>
                <w:szCs w:val="21"/>
                <w:lang w:val="en-US" w:eastAsia="zh-CN"/>
              </w:rPr>
              <w:t>3</w:t>
            </w:r>
            <w:r>
              <w:rPr>
                <w:rFonts w:hint="eastAsia" w:ascii="宋体" w:hAnsi="宋体"/>
                <w:color w:val="auto"/>
                <w:szCs w:val="21"/>
              </w:rPr>
              <w:t>.1款</w:t>
            </w:r>
          </w:p>
        </w:tc>
        <w:tc>
          <w:tcPr>
            <w:tcW w:w="2220" w:type="dxa"/>
            <w:noWrap w:val="0"/>
            <w:vAlign w:val="center"/>
          </w:tcPr>
          <w:p w14:paraId="6DBACCCF">
            <w:pPr>
              <w:adjustRightInd w:val="0"/>
              <w:snapToGrid w:val="0"/>
              <w:spacing w:before="50" w:line="360" w:lineRule="auto"/>
              <w:jc w:val="center"/>
              <w:rPr>
                <w:rFonts w:ascii="宋体" w:hAnsi="宋体"/>
                <w:color w:val="auto"/>
                <w:szCs w:val="21"/>
              </w:rPr>
            </w:pPr>
            <w:r>
              <w:rPr>
                <w:rFonts w:hint="eastAsia" w:ascii="宋体" w:hAnsi="宋体"/>
                <w:color w:val="auto"/>
                <w:szCs w:val="21"/>
              </w:rPr>
              <w:t>采购进口产品</w:t>
            </w:r>
          </w:p>
        </w:tc>
        <w:tc>
          <w:tcPr>
            <w:tcW w:w="6398" w:type="dxa"/>
            <w:noWrap w:val="0"/>
            <w:vAlign w:val="center"/>
          </w:tcPr>
          <w:p w14:paraId="57285A34">
            <w:pPr>
              <w:adjustRightInd w:val="0"/>
              <w:snapToGrid w:val="0"/>
              <w:spacing w:line="360" w:lineRule="auto"/>
              <w:rPr>
                <w:rFonts w:hint="eastAsia" w:ascii="宋体" w:hAnsi="宋体" w:eastAsia="宋体"/>
                <w:color w:val="auto"/>
                <w:szCs w:val="21"/>
                <w:lang w:val="en-US" w:eastAsia="zh-CN"/>
              </w:rPr>
            </w:pPr>
            <w:r>
              <w:rPr>
                <w:rFonts w:hint="eastAsia" w:ascii="宋体" w:hAnsi="宋体"/>
                <w:color w:val="auto"/>
                <w:szCs w:val="21"/>
              </w:rPr>
              <w:t>本次采购</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u w:val="none"/>
                <w:lang w:eastAsia="zh-CN"/>
              </w:rPr>
              <w:t>进口产品</w:t>
            </w:r>
          </w:p>
        </w:tc>
      </w:tr>
      <w:tr w14:paraId="4C823E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0046" w:type="dxa"/>
            <w:gridSpan w:val="3"/>
            <w:noWrap w:val="0"/>
            <w:vAlign w:val="center"/>
          </w:tcPr>
          <w:p w14:paraId="4BD659D0">
            <w:pPr>
              <w:adjustRightInd w:val="0"/>
              <w:snapToGrid w:val="0"/>
              <w:spacing w:before="50" w:line="360" w:lineRule="auto"/>
              <w:rPr>
                <w:rFonts w:ascii="宋体" w:hAnsi="宋体"/>
                <w:b/>
                <w:color w:val="auto"/>
                <w:szCs w:val="21"/>
              </w:rPr>
            </w:pPr>
            <w:r>
              <w:rPr>
                <w:rFonts w:hint="eastAsia" w:ascii="宋体" w:hAnsi="宋体"/>
                <w:b/>
                <w:color w:val="auto"/>
                <w:szCs w:val="21"/>
              </w:rPr>
              <w:t>八、其他规定</w:t>
            </w:r>
          </w:p>
        </w:tc>
      </w:tr>
      <w:tr w14:paraId="4150B3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104C63D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olor w:val="auto"/>
                <w:szCs w:val="21"/>
              </w:rPr>
            </w:pPr>
            <w:r>
              <w:rPr>
                <w:rFonts w:hint="eastAsia" w:ascii="宋体" w:hAnsi="宋体" w:eastAsia="宋体"/>
                <w:color w:val="auto"/>
                <w:szCs w:val="21"/>
              </w:rPr>
              <w:t>第</w:t>
            </w:r>
            <w:r>
              <w:rPr>
                <w:rFonts w:ascii="宋体" w:hAnsi="宋体" w:eastAsia="宋体"/>
                <w:color w:val="auto"/>
                <w:szCs w:val="21"/>
              </w:rPr>
              <w:t>4</w:t>
            </w:r>
            <w:r>
              <w:rPr>
                <w:rFonts w:hint="eastAsia" w:ascii="宋体" w:hAnsi="宋体"/>
                <w:color w:val="auto"/>
                <w:szCs w:val="21"/>
                <w:lang w:val="en-US" w:eastAsia="zh-CN"/>
              </w:rPr>
              <w:t>5</w:t>
            </w:r>
            <w:r>
              <w:rPr>
                <w:rFonts w:hint="eastAsia" w:ascii="宋体" w:hAnsi="宋体" w:eastAsia="宋体"/>
                <w:color w:val="auto"/>
                <w:szCs w:val="21"/>
              </w:rPr>
              <w:t>.1</w:t>
            </w:r>
          </w:p>
          <w:p w14:paraId="0E8E37A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color w:val="auto"/>
                <w:szCs w:val="21"/>
              </w:rPr>
            </w:pPr>
            <w:r>
              <w:rPr>
                <w:rFonts w:hint="eastAsia" w:ascii="宋体" w:hAnsi="宋体" w:eastAsia="宋体" w:cs="宋体"/>
                <w:color w:val="auto"/>
                <w:kern w:val="0"/>
                <w:szCs w:val="21"/>
                <w:lang w:val="zh-CN"/>
              </w:rPr>
              <w:t>（</w:t>
            </w:r>
            <w:r>
              <w:rPr>
                <w:rFonts w:hint="eastAsia" w:ascii="宋体" w:hAnsi="宋体" w:eastAsia="宋体" w:cs="宋体"/>
                <w:color w:val="auto"/>
                <w:kern w:val="0"/>
                <w:szCs w:val="21"/>
              </w:rPr>
              <w:t>1</w:t>
            </w:r>
            <w:r>
              <w:rPr>
                <w:rFonts w:hint="eastAsia" w:ascii="宋体" w:hAnsi="宋体" w:eastAsia="宋体" w:cs="宋体"/>
                <w:color w:val="auto"/>
                <w:kern w:val="0"/>
                <w:szCs w:val="21"/>
                <w:lang w:val="zh-CN"/>
              </w:rPr>
              <w:t>）</w:t>
            </w:r>
            <w:r>
              <w:rPr>
                <w:rFonts w:hint="eastAsia" w:ascii="宋体" w:hAnsi="宋体"/>
                <w:color w:val="auto"/>
                <w:szCs w:val="21"/>
              </w:rPr>
              <w:t>项</w:t>
            </w:r>
          </w:p>
        </w:tc>
        <w:tc>
          <w:tcPr>
            <w:tcW w:w="2220" w:type="dxa"/>
            <w:noWrap w:val="0"/>
            <w:vAlign w:val="center"/>
          </w:tcPr>
          <w:p w14:paraId="65E226C5">
            <w:pPr>
              <w:adjustRightInd w:val="0"/>
              <w:snapToGrid w:val="0"/>
              <w:spacing w:before="50" w:line="360" w:lineRule="auto"/>
              <w:jc w:val="center"/>
              <w:rPr>
                <w:rFonts w:ascii="宋体" w:hAnsi="宋体"/>
                <w:color w:val="auto"/>
                <w:szCs w:val="21"/>
              </w:rPr>
            </w:pPr>
            <w:r>
              <w:rPr>
                <w:rFonts w:hint="eastAsia" w:ascii="宋体" w:hAnsi="宋体" w:eastAsia="宋体"/>
                <w:color w:val="auto"/>
                <w:szCs w:val="21"/>
              </w:rPr>
              <w:t>合同预付款的支付比例和支付条件</w:t>
            </w:r>
          </w:p>
        </w:tc>
        <w:tc>
          <w:tcPr>
            <w:tcW w:w="6398" w:type="dxa"/>
            <w:noWrap w:val="0"/>
            <w:vAlign w:val="center"/>
          </w:tcPr>
          <w:p w14:paraId="3D73C00B">
            <w:pPr>
              <w:adjustRightInd w:val="0"/>
              <w:snapToGrid w:val="0"/>
              <w:spacing w:before="50" w:line="360" w:lineRule="auto"/>
              <w:rPr>
                <w:rFonts w:hint="default" w:ascii="宋体" w:hAnsi="宋体" w:eastAsia="宋体"/>
                <w:color w:val="auto"/>
                <w:szCs w:val="21"/>
                <w:lang w:val="en-US" w:eastAsia="zh-CN"/>
              </w:rPr>
            </w:pPr>
            <w:r>
              <w:rPr>
                <w:rFonts w:hint="eastAsia" w:ascii="宋体" w:hAnsi="宋体"/>
                <w:color w:val="auto"/>
                <w:szCs w:val="21"/>
                <w:lang w:val="en-US" w:eastAsia="zh-CN"/>
              </w:rPr>
              <w:t>详见合同</w:t>
            </w:r>
          </w:p>
        </w:tc>
      </w:tr>
      <w:tr w14:paraId="65C304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0" w:hRule="atLeast"/>
          <w:tblHeader/>
          <w:jc w:val="center"/>
        </w:trPr>
        <w:tc>
          <w:tcPr>
            <w:tcW w:w="1428" w:type="dxa"/>
            <w:noWrap w:val="0"/>
            <w:vAlign w:val="center"/>
          </w:tcPr>
          <w:p w14:paraId="0FB59C64">
            <w:pPr>
              <w:adjustRightInd w:val="0"/>
              <w:snapToGrid w:val="0"/>
              <w:spacing w:before="50" w:line="360" w:lineRule="auto"/>
              <w:jc w:val="center"/>
              <w:rPr>
                <w:rFonts w:hint="eastAsia" w:ascii="宋体" w:hAnsi="宋体"/>
                <w:color w:val="auto"/>
                <w:szCs w:val="21"/>
              </w:rPr>
            </w:pPr>
            <w:r>
              <w:rPr>
                <w:rFonts w:hint="eastAsia" w:ascii="宋体" w:hAnsi="宋体"/>
                <w:color w:val="auto"/>
                <w:szCs w:val="21"/>
              </w:rPr>
              <w:t>第</w:t>
            </w:r>
            <w:r>
              <w:rPr>
                <w:rFonts w:hint="eastAsia" w:ascii="宋体" w:hAnsi="宋体"/>
                <w:color w:val="auto"/>
                <w:szCs w:val="21"/>
                <w:lang w:val="en-US" w:eastAsia="zh-CN"/>
              </w:rPr>
              <w:t>45.2</w:t>
            </w:r>
            <w:r>
              <w:rPr>
                <w:rFonts w:hint="eastAsia" w:ascii="宋体" w:hAnsi="宋体"/>
                <w:color w:val="auto"/>
                <w:szCs w:val="21"/>
              </w:rPr>
              <w:t>款</w:t>
            </w:r>
          </w:p>
        </w:tc>
        <w:tc>
          <w:tcPr>
            <w:tcW w:w="2220" w:type="dxa"/>
            <w:noWrap w:val="0"/>
            <w:vAlign w:val="center"/>
          </w:tcPr>
          <w:p w14:paraId="3B2AE04C">
            <w:pPr>
              <w:adjustRightInd w:val="0"/>
              <w:snapToGrid w:val="0"/>
              <w:spacing w:before="50" w:line="360" w:lineRule="auto"/>
              <w:jc w:val="center"/>
              <w:rPr>
                <w:rFonts w:hint="eastAsia" w:ascii="宋体" w:hAnsi="宋体"/>
                <w:color w:val="auto"/>
                <w:szCs w:val="21"/>
              </w:rPr>
            </w:pPr>
            <w:r>
              <w:rPr>
                <w:rFonts w:hint="eastAsia" w:ascii="宋体" w:hAnsi="宋体"/>
                <w:color w:val="auto"/>
                <w:szCs w:val="21"/>
              </w:rPr>
              <w:t>其他规定</w:t>
            </w:r>
          </w:p>
        </w:tc>
        <w:tc>
          <w:tcPr>
            <w:tcW w:w="6398" w:type="dxa"/>
            <w:noWrap w:val="0"/>
            <w:vAlign w:val="center"/>
          </w:tcPr>
          <w:p w14:paraId="1DE848DE">
            <w:pPr>
              <w:keepNext w:val="0"/>
              <w:keepLines w:val="0"/>
              <w:widowControl/>
              <w:suppressLineNumbers w:val="0"/>
              <w:spacing w:before="0" w:beforeAutospacing="0" w:after="0" w:afterAutospacing="0" w:line="360" w:lineRule="auto"/>
              <w:ind w:left="0" w:right="0"/>
              <w:jc w:val="left"/>
              <w:rPr>
                <w:rFonts w:hint="eastAsia" w:ascii="宋体" w:hAnsi="宋体"/>
                <w:color w:val="auto"/>
                <w:szCs w:val="21"/>
                <w:lang w:val="en-US" w:eastAsia="zh-CN"/>
              </w:rPr>
            </w:pPr>
            <w:r>
              <w:rPr>
                <w:rFonts w:hint="eastAsia" w:ascii="宋体" w:hAnsi="宋体"/>
                <w:color w:val="auto"/>
                <w:szCs w:val="21"/>
                <w:lang w:val="en-US" w:eastAsia="zh-CN"/>
              </w:rPr>
              <w:t>开标时单独提交以下材料：</w:t>
            </w:r>
          </w:p>
          <w:p w14:paraId="01D86D1B">
            <w:pPr>
              <w:keepNext w:val="0"/>
              <w:keepLines w:val="0"/>
              <w:widowControl/>
              <w:suppressLineNumbers w:val="0"/>
              <w:spacing w:before="0" w:beforeAutospacing="0" w:after="0" w:afterAutospacing="0" w:line="360" w:lineRule="auto"/>
              <w:ind w:left="0" w:right="0"/>
              <w:jc w:val="left"/>
              <w:rPr>
                <w:rFonts w:hint="eastAsia" w:ascii="宋体" w:hAnsi="宋体"/>
                <w:color w:val="auto"/>
                <w:szCs w:val="21"/>
                <w:lang w:val="en-US" w:eastAsia="zh-CN"/>
              </w:rPr>
            </w:pPr>
            <w:r>
              <w:rPr>
                <w:rFonts w:hint="eastAsia" w:ascii="宋体" w:hAnsi="宋体"/>
                <w:color w:val="auto"/>
                <w:szCs w:val="21"/>
                <w:lang w:val="en-US" w:eastAsia="zh-CN"/>
              </w:rPr>
              <w:t>1.投标人是法定代表人的持法定代表人身份证明、本人二代身份证参加开标会议；</w:t>
            </w:r>
          </w:p>
          <w:p w14:paraId="07AE45F7">
            <w:pPr>
              <w:keepNext w:val="0"/>
              <w:keepLines w:val="0"/>
              <w:widowControl/>
              <w:suppressLineNumbers w:val="0"/>
              <w:spacing w:before="0" w:beforeAutospacing="0" w:after="0" w:afterAutospacing="0" w:line="360" w:lineRule="auto"/>
              <w:ind w:left="0" w:right="0"/>
              <w:jc w:val="left"/>
              <w:rPr>
                <w:rFonts w:hint="eastAsia" w:ascii="宋体" w:hAnsi="宋体"/>
                <w:color w:val="auto"/>
                <w:szCs w:val="21"/>
                <w:lang w:val="en-US" w:eastAsia="zh-CN"/>
              </w:rPr>
            </w:pPr>
            <w:r>
              <w:rPr>
                <w:rFonts w:hint="eastAsia" w:ascii="宋体" w:hAnsi="宋体"/>
                <w:color w:val="auto"/>
                <w:szCs w:val="21"/>
                <w:lang w:val="en-US" w:eastAsia="zh-CN"/>
              </w:rPr>
              <w:t>2.投标人是授权委托人的持法人授权书和法定代表人身份证明、本人二代身份证参加开标会议；</w:t>
            </w:r>
          </w:p>
        </w:tc>
      </w:tr>
    </w:tbl>
    <w:p w14:paraId="4CC6FD53">
      <w:pPr>
        <w:adjustRightInd w:val="0"/>
        <w:snapToGrid w:val="0"/>
        <w:spacing w:before="156" w:beforeLines="50" w:line="360" w:lineRule="auto"/>
        <w:jc w:val="center"/>
        <w:outlineLvl w:val="1"/>
        <w:rPr>
          <w:rFonts w:hint="eastAsia" w:ascii="宋体" w:hAnsi="宋体" w:eastAsia="宋体" w:cs="宋体"/>
          <w:b/>
          <w:bCs/>
          <w:color w:val="auto"/>
          <w:sz w:val="28"/>
          <w:szCs w:val="28"/>
        </w:rPr>
        <w:sectPr>
          <w:footerReference r:id="rId4" w:type="default"/>
          <w:pgSz w:w="11906" w:h="16838"/>
          <w:pgMar w:top="1418" w:right="1418" w:bottom="1134" w:left="1418" w:header="851" w:footer="992" w:gutter="0"/>
          <w:pgNumType w:fmt="decimal" w:start="1"/>
          <w:cols w:space="720" w:num="1"/>
          <w:docGrid w:type="linesAndChars" w:linePitch="312" w:charSpace="0"/>
        </w:sectPr>
      </w:pPr>
      <w:bookmarkStart w:id="31" w:name="_Toc32339"/>
    </w:p>
    <w:p w14:paraId="722A47A5">
      <w:pPr>
        <w:adjustRightInd w:val="0"/>
        <w:snapToGrid w:val="0"/>
        <w:spacing w:before="156" w:beforeLines="50" w:line="360" w:lineRule="auto"/>
        <w:jc w:val="center"/>
        <w:outlineLvl w:val="1"/>
        <w:rPr>
          <w:rFonts w:ascii="黑体" w:hAnsi="黑体" w:eastAsia="黑体"/>
          <w:b/>
          <w:bCs/>
          <w:color w:val="auto"/>
          <w:sz w:val="32"/>
          <w:szCs w:val="32"/>
        </w:rPr>
      </w:pPr>
      <w:bookmarkStart w:id="32" w:name="_Toc31848"/>
      <w:r>
        <w:rPr>
          <w:rFonts w:hint="eastAsia" w:ascii="宋体" w:hAnsi="宋体" w:eastAsia="宋体" w:cs="宋体"/>
          <w:b/>
          <w:bCs/>
          <w:color w:val="auto"/>
          <w:sz w:val="28"/>
          <w:szCs w:val="28"/>
        </w:rPr>
        <w:t xml:space="preserve">第二节 </w:t>
      </w:r>
      <w:r>
        <w:rPr>
          <w:rFonts w:hint="eastAsia" w:ascii="宋体" w:hAnsi="宋体" w:eastAsia="宋体" w:cs="宋体"/>
          <w:b/>
          <w:bCs/>
          <w:color w:val="auto"/>
          <w:sz w:val="28"/>
          <w:szCs w:val="28"/>
          <w:lang w:eastAsia="zh-CN"/>
        </w:rPr>
        <w:t>磋商</w:t>
      </w:r>
      <w:r>
        <w:rPr>
          <w:rFonts w:hint="eastAsia" w:ascii="宋体" w:hAnsi="宋体" w:eastAsia="宋体" w:cs="宋体"/>
          <w:b/>
          <w:bCs/>
          <w:color w:val="auto"/>
          <w:sz w:val="28"/>
          <w:szCs w:val="28"/>
        </w:rPr>
        <w:t>须知正文</w:t>
      </w:r>
      <w:bookmarkEnd w:id="31"/>
      <w:bookmarkEnd w:id="32"/>
    </w:p>
    <w:p w14:paraId="6137FDCE">
      <w:pPr>
        <w:adjustRightInd w:val="0"/>
        <w:snapToGrid w:val="0"/>
        <w:spacing w:before="156" w:beforeLines="50" w:line="360" w:lineRule="auto"/>
        <w:jc w:val="center"/>
        <w:outlineLvl w:val="9"/>
        <w:rPr>
          <w:rFonts w:hint="eastAsia" w:ascii="宋体" w:hAnsi="宋体" w:eastAsia="宋体" w:cs="宋体"/>
          <w:b/>
          <w:bCs/>
          <w:color w:val="auto"/>
          <w:sz w:val="24"/>
          <w:szCs w:val="24"/>
        </w:rPr>
      </w:pPr>
      <w:bookmarkStart w:id="33" w:name="_Toc2065"/>
      <w:r>
        <w:rPr>
          <w:rFonts w:hint="eastAsia" w:ascii="宋体" w:hAnsi="宋体" w:eastAsia="宋体" w:cs="宋体"/>
          <w:b/>
          <w:bCs/>
          <w:color w:val="auto"/>
          <w:sz w:val="24"/>
          <w:szCs w:val="24"/>
        </w:rPr>
        <w:t>一、说明</w:t>
      </w:r>
      <w:bookmarkEnd w:id="33"/>
    </w:p>
    <w:p w14:paraId="2B1D02A7">
      <w:pPr>
        <w:spacing w:line="360" w:lineRule="auto"/>
        <w:outlineLvl w:val="9"/>
        <w:rPr>
          <w:rFonts w:hint="eastAsia" w:ascii="宋体" w:hAnsi="宋体" w:eastAsia="宋体" w:cs="宋体"/>
          <w:b/>
          <w:bCs/>
          <w:color w:val="auto"/>
          <w:sz w:val="22"/>
          <w:szCs w:val="22"/>
        </w:rPr>
      </w:pPr>
      <w:bookmarkStart w:id="34" w:name="_Toc107997835"/>
      <w:bookmarkStart w:id="35" w:name="_Toc107997962"/>
      <w:r>
        <w:rPr>
          <w:rFonts w:hint="eastAsia" w:ascii="宋体" w:hAnsi="宋体" w:eastAsia="宋体" w:cs="宋体"/>
          <w:b/>
          <w:bCs/>
          <w:color w:val="auto"/>
          <w:sz w:val="22"/>
          <w:szCs w:val="22"/>
        </w:rPr>
        <w:t>1.适用范围</w:t>
      </w:r>
      <w:bookmarkEnd w:id="34"/>
      <w:bookmarkEnd w:id="35"/>
    </w:p>
    <w:p w14:paraId="21F4F7FA">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1.1本竞争性</w:t>
      </w:r>
      <w:r>
        <w:rPr>
          <w:rFonts w:hint="eastAsia" w:ascii="宋体" w:hAnsi="宋体"/>
          <w:color w:val="auto"/>
          <w:szCs w:val="21"/>
          <w:lang w:eastAsia="zh-CN"/>
        </w:rPr>
        <w:t>磋商</w:t>
      </w:r>
      <w:r>
        <w:rPr>
          <w:rFonts w:hint="eastAsia" w:ascii="宋体" w:hAnsi="宋体"/>
          <w:color w:val="auto"/>
          <w:szCs w:val="21"/>
        </w:rPr>
        <w:t>文件仅适用于本章第一节“</w:t>
      </w:r>
      <w:r>
        <w:rPr>
          <w:rFonts w:hint="eastAsia" w:ascii="宋体" w:hAnsi="宋体"/>
          <w:color w:val="auto"/>
          <w:szCs w:val="21"/>
          <w:lang w:eastAsia="zh-CN"/>
        </w:rPr>
        <w:t>磋商</w:t>
      </w:r>
      <w:r>
        <w:rPr>
          <w:rFonts w:hint="eastAsia" w:ascii="宋体" w:hAnsi="宋体"/>
          <w:color w:val="auto"/>
          <w:szCs w:val="21"/>
        </w:rPr>
        <w:t>须知前附表”（以下简称</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ascii="宋体" w:hAnsi="宋体"/>
          <w:color w:val="auto"/>
          <w:szCs w:val="21"/>
        </w:rPr>
        <w:t>）中所叙述的采购项目。</w:t>
      </w:r>
    </w:p>
    <w:p w14:paraId="6E494817">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1.2</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ascii="宋体" w:hAnsi="宋体"/>
          <w:color w:val="auto"/>
          <w:szCs w:val="21"/>
        </w:rPr>
        <w:t>规定采购项目或者采购包属于“预留采购份额”的，供应商应当符合本章第</w:t>
      </w:r>
      <w:r>
        <w:rPr>
          <w:rFonts w:hint="eastAsia" w:ascii="宋体" w:hAnsi="宋体"/>
          <w:color w:val="auto"/>
          <w:szCs w:val="21"/>
          <w:highlight w:val="none"/>
        </w:rPr>
        <w:t>3</w:t>
      </w:r>
      <w:r>
        <w:rPr>
          <w:rFonts w:hint="eastAsia" w:ascii="宋体" w:hAnsi="宋体"/>
          <w:color w:val="auto"/>
          <w:szCs w:val="21"/>
          <w:highlight w:val="none"/>
          <w:lang w:val="en-US" w:eastAsia="zh-CN"/>
        </w:rPr>
        <w:t>7</w:t>
      </w:r>
      <w:r>
        <w:rPr>
          <w:rFonts w:hint="eastAsia" w:ascii="宋体" w:hAnsi="宋体"/>
          <w:color w:val="auto"/>
          <w:szCs w:val="21"/>
          <w:highlight w:val="none"/>
        </w:rPr>
        <w:t>.1</w:t>
      </w:r>
      <w:r>
        <w:rPr>
          <w:rFonts w:hint="eastAsia" w:ascii="宋体" w:hAnsi="宋体"/>
          <w:color w:val="auto"/>
          <w:szCs w:val="21"/>
        </w:rPr>
        <w:t>款规定，否则</w:t>
      </w:r>
      <w:r>
        <w:rPr>
          <w:rFonts w:hint="eastAsia" w:ascii="宋体" w:hAnsi="宋体"/>
          <w:color w:val="auto"/>
          <w:szCs w:val="21"/>
          <w:lang w:eastAsia="zh-CN"/>
        </w:rPr>
        <w:t>，</w:t>
      </w:r>
      <w:r>
        <w:rPr>
          <w:rFonts w:hint="eastAsia" w:ascii="宋体" w:hAnsi="宋体"/>
          <w:b/>
          <w:bCs/>
          <w:color w:val="auto"/>
          <w:kern w:val="0"/>
          <w:szCs w:val="21"/>
        </w:rPr>
        <w:t>其响应无效</w:t>
      </w:r>
      <w:r>
        <w:rPr>
          <w:rFonts w:hint="eastAsia" w:ascii="宋体" w:hAnsi="宋体"/>
          <w:color w:val="auto"/>
          <w:szCs w:val="21"/>
        </w:rPr>
        <w:t>。</w:t>
      </w:r>
    </w:p>
    <w:p w14:paraId="376C9D3A">
      <w:pPr>
        <w:spacing w:line="360" w:lineRule="auto"/>
        <w:outlineLvl w:val="9"/>
        <w:rPr>
          <w:rFonts w:hint="eastAsia" w:ascii="宋体" w:hAnsi="宋体" w:eastAsia="宋体" w:cs="宋体"/>
          <w:b/>
          <w:bCs/>
          <w:color w:val="auto"/>
          <w:sz w:val="22"/>
          <w:szCs w:val="22"/>
        </w:rPr>
      </w:pPr>
      <w:bookmarkStart w:id="36" w:name="_Toc107997836"/>
      <w:bookmarkStart w:id="37" w:name="_Toc107997963"/>
      <w:r>
        <w:rPr>
          <w:rFonts w:hint="eastAsia" w:ascii="宋体" w:hAnsi="宋体" w:eastAsia="宋体" w:cs="宋体"/>
          <w:b/>
          <w:bCs/>
          <w:color w:val="auto"/>
          <w:sz w:val="22"/>
          <w:szCs w:val="22"/>
        </w:rPr>
        <w:t>2.定义</w:t>
      </w:r>
      <w:bookmarkEnd w:id="36"/>
      <w:bookmarkEnd w:id="37"/>
    </w:p>
    <w:p w14:paraId="5E1826CC">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2.1采购项目联系人姓名和电话见</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ascii="宋体" w:hAnsi="宋体"/>
          <w:color w:val="auto"/>
          <w:szCs w:val="21"/>
        </w:rPr>
        <w:t>。</w:t>
      </w:r>
    </w:p>
    <w:p w14:paraId="2266995D">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2.2采购人名称、地址、电话、联系人见</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ascii="宋体" w:hAnsi="宋体"/>
          <w:color w:val="auto"/>
          <w:szCs w:val="21"/>
        </w:rPr>
        <w:t>。</w:t>
      </w:r>
    </w:p>
    <w:p w14:paraId="3CAFD927">
      <w:pPr>
        <w:adjustRightInd w:val="0"/>
        <w:snapToGrid w:val="0"/>
        <w:spacing w:line="360" w:lineRule="auto"/>
        <w:ind w:firstLine="420" w:firstLineChars="200"/>
        <w:jc w:val="left"/>
        <w:outlineLvl w:val="9"/>
        <w:rPr>
          <w:rFonts w:hint="eastAsia" w:ascii="宋体" w:hAnsi="宋体"/>
          <w:color w:val="auto"/>
          <w:szCs w:val="21"/>
        </w:rPr>
      </w:pPr>
      <w:r>
        <w:rPr>
          <w:rFonts w:hint="eastAsia" w:ascii="宋体" w:hAnsi="宋体"/>
          <w:color w:val="auto"/>
          <w:szCs w:val="21"/>
        </w:rPr>
        <w:t>2.3采购代理机构名称、地址、电话、联系人见</w:t>
      </w:r>
      <w:r>
        <w:rPr>
          <w:rFonts w:hint="eastAsia" w:ascii="宋体" w:hAnsi="宋体"/>
          <w:b/>
          <w:bCs/>
          <w:color w:val="auto"/>
          <w:szCs w:val="21"/>
        </w:rPr>
        <w:t>【</w:t>
      </w:r>
      <w:r>
        <w:rPr>
          <w:rFonts w:hint="eastAsia" w:ascii="宋体" w:hAnsi="宋体"/>
          <w:b/>
          <w:bCs/>
          <w:color w:val="auto"/>
          <w:szCs w:val="21"/>
          <w:lang w:eastAsia="zh-CN"/>
        </w:rPr>
        <w:t>磋商</w:t>
      </w:r>
      <w:r>
        <w:rPr>
          <w:rFonts w:hint="eastAsia" w:ascii="宋体" w:hAnsi="宋体"/>
          <w:b/>
          <w:bCs/>
          <w:color w:val="auto"/>
          <w:szCs w:val="21"/>
        </w:rPr>
        <w:t>须知前附表】</w:t>
      </w:r>
      <w:r>
        <w:rPr>
          <w:rFonts w:hint="eastAsia" w:ascii="宋体" w:hAnsi="宋体"/>
          <w:color w:val="auto"/>
          <w:szCs w:val="21"/>
        </w:rPr>
        <w:t>。</w:t>
      </w:r>
    </w:p>
    <w:p w14:paraId="0C6DFD8E">
      <w:pPr>
        <w:adjustRightInd w:val="0"/>
        <w:snapToGrid w:val="0"/>
        <w:spacing w:line="360" w:lineRule="auto"/>
        <w:ind w:firstLine="420" w:firstLineChars="200"/>
        <w:jc w:val="left"/>
        <w:outlineLvl w:val="9"/>
        <w:rPr>
          <w:rFonts w:hint="eastAsia" w:ascii="宋体" w:hAnsi="宋体"/>
          <w:color w:val="auto"/>
          <w:szCs w:val="21"/>
        </w:rPr>
      </w:pPr>
      <w:r>
        <w:rPr>
          <w:rFonts w:hint="eastAsia" w:ascii="宋体" w:hAnsi="宋体"/>
          <w:color w:val="auto"/>
          <w:szCs w:val="21"/>
        </w:rPr>
        <w:t>2.4供应商是指响应</w:t>
      </w:r>
      <w:r>
        <w:rPr>
          <w:rFonts w:hint="eastAsia" w:ascii="宋体" w:hAnsi="宋体"/>
          <w:color w:val="auto"/>
          <w:szCs w:val="21"/>
          <w:lang w:eastAsia="zh-CN"/>
        </w:rPr>
        <w:t>磋商</w:t>
      </w:r>
      <w:r>
        <w:rPr>
          <w:rFonts w:hint="eastAsia" w:ascii="宋体" w:hAnsi="宋体"/>
          <w:color w:val="auto"/>
          <w:szCs w:val="21"/>
        </w:rPr>
        <w:t>文件要求、参加竞争性</w:t>
      </w:r>
      <w:r>
        <w:rPr>
          <w:rFonts w:hint="eastAsia" w:ascii="宋体" w:hAnsi="宋体"/>
          <w:color w:val="auto"/>
          <w:szCs w:val="21"/>
          <w:lang w:eastAsia="zh-CN"/>
        </w:rPr>
        <w:t>磋商</w:t>
      </w:r>
      <w:r>
        <w:rPr>
          <w:rFonts w:hint="eastAsia" w:ascii="宋体" w:hAnsi="宋体"/>
          <w:color w:val="auto"/>
          <w:szCs w:val="21"/>
        </w:rPr>
        <w:t>采购的法人、其他组织或者自然人。</w:t>
      </w:r>
      <w:bookmarkStart w:id="38" w:name="_Toc107997837"/>
      <w:bookmarkStart w:id="39" w:name="_Toc107997964"/>
    </w:p>
    <w:p w14:paraId="6BA78E95">
      <w:pPr>
        <w:spacing w:line="360" w:lineRule="auto"/>
        <w:outlineLvl w:val="9"/>
        <w:rPr>
          <w:rFonts w:hint="eastAsia" w:ascii="宋体" w:hAnsi="宋体" w:eastAsia="宋体" w:cs="宋体"/>
          <w:b/>
          <w:bCs/>
          <w:color w:val="auto"/>
          <w:sz w:val="22"/>
          <w:szCs w:val="22"/>
        </w:rPr>
      </w:pPr>
      <w:r>
        <w:rPr>
          <w:rFonts w:hint="eastAsia" w:ascii="宋体" w:hAnsi="宋体" w:eastAsia="宋体" w:cs="宋体"/>
          <w:b/>
          <w:bCs/>
          <w:color w:val="auto"/>
          <w:sz w:val="22"/>
          <w:szCs w:val="22"/>
        </w:rPr>
        <w:t>3.供应商的资格要求</w:t>
      </w:r>
      <w:bookmarkEnd w:id="38"/>
      <w:bookmarkEnd w:id="39"/>
    </w:p>
    <w:p w14:paraId="776803F5">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3.1供应商应当符合</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ascii="宋体" w:hAnsi="宋体"/>
          <w:color w:val="auto"/>
          <w:szCs w:val="21"/>
        </w:rPr>
        <w:t>规定的供应商资格条件。</w:t>
      </w:r>
    </w:p>
    <w:p w14:paraId="4A993388">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3.2</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ascii="宋体" w:hAnsi="宋体"/>
          <w:color w:val="auto"/>
          <w:szCs w:val="21"/>
        </w:rPr>
        <w:t>规定接受联合体形式的，供应商除应符合本章第3.1</w:t>
      </w:r>
      <w:r>
        <w:rPr>
          <w:rFonts w:hint="eastAsia" w:ascii="宋体" w:hAnsi="宋体" w:cs="宋体"/>
          <w:color w:val="auto"/>
          <w:kern w:val="0"/>
          <w:szCs w:val="21"/>
          <w:lang w:val="zh-CN"/>
        </w:rPr>
        <w:t>款</w:t>
      </w:r>
      <w:r>
        <w:rPr>
          <w:rFonts w:hint="eastAsia" w:ascii="宋体" w:hAnsi="宋体"/>
          <w:color w:val="auto"/>
          <w:szCs w:val="21"/>
        </w:rPr>
        <w:t xml:space="preserve">规定外，还应遵守以下规定： </w:t>
      </w:r>
    </w:p>
    <w:p w14:paraId="0FC49F62">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（l）联合体中有同类资质的供应商按照联合体分工承担相同工作的，应当按照资质等级较低的供应商确定资质等级。</w:t>
      </w:r>
    </w:p>
    <w:p w14:paraId="0E8847E8">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（2）联合体各方应按</w:t>
      </w:r>
      <w:r>
        <w:rPr>
          <w:rFonts w:hint="eastAsia" w:ascii="宋体" w:hAnsi="宋体"/>
          <w:color w:val="auto"/>
          <w:szCs w:val="21"/>
          <w:lang w:eastAsia="zh-CN"/>
        </w:rPr>
        <w:t>磋商</w:t>
      </w:r>
      <w:r>
        <w:rPr>
          <w:rFonts w:hint="eastAsia" w:ascii="宋体" w:hAnsi="宋体"/>
          <w:color w:val="auto"/>
          <w:szCs w:val="21"/>
        </w:rPr>
        <w:t>文件提供的格式签订联合体协议书，明确联合体牵头人和各方的权利义务、合同工作量比例；</w:t>
      </w:r>
    </w:p>
    <w:p w14:paraId="0C8D8295">
      <w:pPr>
        <w:adjustRightInd w:val="0"/>
        <w:snapToGrid w:val="0"/>
        <w:spacing w:line="360" w:lineRule="auto"/>
        <w:ind w:firstLine="420" w:firstLineChars="200"/>
        <w:jc w:val="left"/>
        <w:outlineLvl w:val="9"/>
        <w:rPr>
          <w:rFonts w:ascii="宋体" w:hAnsi="宋体" w:cs="宋体"/>
          <w:color w:val="auto"/>
          <w:kern w:val="0"/>
          <w:szCs w:val="21"/>
          <w:lang w:val="zh-CN"/>
        </w:rPr>
      </w:pPr>
      <w:r>
        <w:rPr>
          <w:rFonts w:hint="eastAsia" w:ascii="宋体" w:hAnsi="宋体"/>
          <w:color w:val="auto"/>
          <w:szCs w:val="21"/>
        </w:rPr>
        <w:t>（3）联合体各方签订联合体协议书后，</w:t>
      </w:r>
      <w:r>
        <w:rPr>
          <w:rFonts w:hint="eastAsia" w:ascii="宋体" w:hAnsi="宋体" w:cs="宋体"/>
          <w:color w:val="auto"/>
          <w:kern w:val="0"/>
          <w:szCs w:val="21"/>
          <w:lang w:val="zh-CN"/>
        </w:rPr>
        <w:t>不得再单独参加或者与其他供应商组成新的联合体参加同一合同项下的采购活动。</w:t>
      </w:r>
    </w:p>
    <w:p w14:paraId="14E216D1">
      <w:pPr>
        <w:spacing w:line="360" w:lineRule="auto"/>
        <w:outlineLvl w:val="9"/>
        <w:rPr>
          <w:rFonts w:hint="eastAsia" w:ascii="宋体" w:hAnsi="宋体" w:eastAsia="宋体" w:cs="宋体"/>
          <w:b/>
          <w:bCs/>
          <w:color w:val="auto"/>
          <w:sz w:val="22"/>
          <w:szCs w:val="22"/>
        </w:rPr>
      </w:pPr>
      <w:bookmarkStart w:id="40" w:name="_Toc107997965"/>
      <w:bookmarkStart w:id="41" w:name="_Toc107997838"/>
      <w:r>
        <w:rPr>
          <w:rFonts w:hint="eastAsia" w:ascii="宋体" w:hAnsi="宋体" w:eastAsia="宋体" w:cs="宋体"/>
          <w:b/>
          <w:bCs/>
          <w:color w:val="auto"/>
          <w:sz w:val="22"/>
          <w:szCs w:val="22"/>
        </w:rPr>
        <w:t>4.参与</w:t>
      </w:r>
      <w:r>
        <w:rPr>
          <w:rFonts w:hint="eastAsia" w:ascii="宋体" w:hAnsi="宋体" w:eastAsia="宋体" w:cs="宋体"/>
          <w:b/>
          <w:bCs/>
          <w:color w:val="auto"/>
          <w:sz w:val="22"/>
          <w:szCs w:val="22"/>
          <w:lang w:eastAsia="zh-CN"/>
        </w:rPr>
        <w:t>磋商</w:t>
      </w:r>
      <w:r>
        <w:rPr>
          <w:rFonts w:hint="eastAsia" w:ascii="宋体" w:hAnsi="宋体" w:eastAsia="宋体" w:cs="宋体"/>
          <w:b/>
          <w:bCs/>
          <w:color w:val="auto"/>
          <w:sz w:val="22"/>
          <w:szCs w:val="22"/>
        </w:rPr>
        <w:t>的费用</w:t>
      </w:r>
      <w:bookmarkEnd w:id="40"/>
      <w:bookmarkEnd w:id="41"/>
    </w:p>
    <w:p w14:paraId="571DB9C9">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szCs w:val="21"/>
        </w:rPr>
        <w:t>4.1无论</w:t>
      </w:r>
      <w:r>
        <w:rPr>
          <w:rFonts w:hint="eastAsia" w:ascii="宋体" w:hAnsi="宋体"/>
          <w:color w:val="auto"/>
          <w:szCs w:val="21"/>
          <w:lang w:eastAsia="zh-CN"/>
        </w:rPr>
        <w:t>磋商</w:t>
      </w:r>
      <w:r>
        <w:rPr>
          <w:rFonts w:hint="eastAsia" w:ascii="宋体" w:hAnsi="宋体"/>
          <w:color w:val="auto"/>
          <w:szCs w:val="21"/>
        </w:rPr>
        <w:t>的结果如何，供应商应自行承担所有与竞争性</w:t>
      </w:r>
      <w:r>
        <w:rPr>
          <w:rFonts w:hint="eastAsia" w:ascii="宋体" w:hAnsi="宋体"/>
          <w:color w:val="auto"/>
          <w:szCs w:val="21"/>
          <w:lang w:eastAsia="zh-CN"/>
        </w:rPr>
        <w:t>磋商</w:t>
      </w:r>
      <w:r>
        <w:rPr>
          <w:rFonts w:hint="eastAsia" w:ascii="宋体" w:hAnsi="宋体"/>
          <w:color w:val="auto"/>
          <w:szCs w:val="21"/>
        </w:rPr>
        <w:t>采购活动有关的全部费用。</w:t>
      </w:r>
    </w:p>
    <w:p w14:paraId="4E1A949E">
      <w:pPr>
        <w:spacing w:line="360" w:lineRule="auto"/>
        <w:outlineLvl w:val="9"/>
        <w:rPr>
          <w:rFonts w:hint="eastAsia" w:ascii="宋体" w:hAnsi="宋体" w:eastAsia="宋体" w:cs="宋体"/>
          <w:b/>
          <w:bCs/>
          <w:color w:val="auto"/>
          <w:sz w:val="22"/>
          <w:szCs w:val="22"/>
        </w:rPr>
      </w:pPr>
      <w:bookmarkStart w:id="42" w:name="_Toc107997839"/>
      <w:bookmarkStart w:id="43" w:name="_Toc107997966"/>
      <w:r>
        <w:rPr>
          <w:rFonts w:hint="eastAsia" w:ascii="宋体" w:hAnsi="宋体" w:eastAsia="宋体" w:cs="宋体"/>
          <w:b/>
          <w:bCs/>
          <w:color w:val="auto"/>
          <w:sz w:val="22"/>
          <w:szCs w:val="22"/>
        </w:rPr>
        <w:t>5.现场勘察</w:t>
      </w:r>
      <w:bookmarkEnd w:id="42"/>
      <w:bookmarkEnd w:id="43"/>
    </w:p>
    <w:p w14:paraId="173C976A">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szCs w:val="21"/>
        </w:rPr>
        <w:t>5.1供应商应按</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hAnsi="宋体"/>
          <w:color w:val="auto"/>
        </w:rPr>
        <w:t>中规定</w:t>
      </w:r>
      <w:r>
        <w:rPr>
          <w:rFonts w:hint="eastAsia" w:ascii="宋体" w:hAnsi="宋体"/>
          <w:color w:val="auto"/>
          <w:szCs w:val="21"/>
        </w:rPr>
        <w:t>对采购项目现场和周围环境的现场考察。</w:t>
      </w:r>
    </w:p>
    <w:p w14:paraId="54AA7127">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szCs w:val="21"/>
        </w:rPr>
        <w:t>5.2勘察现场的费用由供应商自己承担，勘察期间所发生的人身伤害及财产损失由供应商自己负责。</w:t>
      </w:r>
    </w:p>
    <w:p w14:paraId="5AF63792">
      <w:pPr>
        <w:adjustRightInd w:val="0"/>
        <w:snapToGrid w:val="0"/>
        <w:spacing w:line="360" w:lineRule="auto"/>
        <w:ind w:firstLine="420" w:firstLineChars="200"/>
        <w:jc w:val="left"/>
        <w:outlineLvl w:val="9"/>
        <w:rPr>
          <w:rFonts w:ascii="宋体" w:hAnsi="宋体"/>
          <w:b/>
          <w:color w:val="auto"/>
          <w:szCs w:val="21"/>
        </w:rPr>
      </w:pPr>
      <w:r>
        <w:rPr>
          <w:rFonts w:hint="eastAsia" w:ascii="宋体" w:hAnsi="宋体"/>
          <w:color w:val="auto"/>
          <w:szCs w:val="21"/>
        </w:rPr>
        <w:t>5.3采购人不对供应商据此而做出的推论、理解和结论负责。一旦成交，供应商不得以任何借口，而提出额外补偿，或延长合同期限的要求。</w:t>
      </w:r>
    </w:p>
    <w:p w14:paraId="52DF55AD">
      <w:pPr>
        <w:adjustRightInd w:val="0"/>
        <w:snapToGrid w:val="0"/>
        <w:spacing w:line="360" w:lineRule="auto"/>
        <w:jc w:val="center"/>
        <w:outlineLvl w:val="9"/>
        <w:rPr>
          <w:rFonts w:hint="eastAsia" w:ascii="黑体" w:hAnsi="黑体" w:eastAsia="黑体"/>
          <w:b/>
          <w:bCs/>
          <w:color w:val="auto"/>
          <w:sz w:val="28"/>
          <w:szCs w:val="28"/>
        </w:rPr>
      </w:pPr>
      <w:bookmarkStart w:id="44" w:name="_Toc19589"/>
      <w:bookmarkStart w:id="45" w:name="_Toc107997967"/>
    </w:p>
    <w:p w14:paraId="7664F232">
      <w:pPr>
        <w:adjustRightInd w:val="0"/>
        <w:snapToGrid w:val="0"/>
        <w:spacing w:line="360" w:lineRule="auto"/>
        <w:jc w:val="center"/>
        <w:outlineLvl w:val="9"/>
        <w:rPr>
          <w:rFonts w:hint="eastAsia" w:ascii="宋体" w:hAnsi="宋体" w:eastAsia="宋体" w:cs="宋体"/>
          <w:b/>
          <w:bCs/>
          <w:color w:val="auto"/>
          <w:sz w:val="24"/>
          <w:szCs w:val="24"/>
        </w:rPr>
      </w:pPr>
    </w:p>
    <w:p w14:paraId="3AABB7FD">
      <w:pPr>
        <w:adjustRightInd w:val="0"/>
        <w:snapToGrid w:val="0"/>
        <w:spacing w:line="360" w:lineRule="auto"/>
        <w:jc w:val="center"/>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二、</w:t>
      </w:r>
      <w:r>
        <w:rPr>
          <w:rFonts w:hint="eastAsia" w:ascii="宋体" w:hAnsi="宋体" w:eastAsia="宋体" w:cs="宋体"/>
          <w:b/>
          <w:bCs/>
          <w:color w:val="auto"/>
          <w:sz w:val="24"/>
          <w:szCs w:val="24"/>
          <w:lang w:eastAsia="zh-CN"/>
        </w:rPr>
        <w:t>磋商</w:t>
      </w:r>
      <w:r>
        <w:rPr>
          <w:rFonts w:hint="eastAsia" w:ascii="宋体" w:hAnsi="宋体" w:eastAsia="宋体" w:cs="宋体"/>
          <w:b/>
          <w:bCs/>
          <w:color w:val="auto"/>
          <w:sz w:val="24"/>
          <w:szCs w:val="24"/>
        </w:rPr>
        <w:t>文件</w:t>
      </w:r>
      <w:bookmarkEnd w:id="44"/>
      <w:bookmarkEnd w:id="45"/>
    </w:p>
    <w:p w14:paraId="285E4BC6">
      <w:pPr>
        <w:spacing w:line="360" w:lineRule="auto"/>
        <w:outlineLvl w:val="9"/>
        <w:rPr>
          <w:rFonts w:hint="eastAsia" w:ascii="宋体" w:hAnsi="宋体" w:eastAsia="宋体" w:cs="宋体"/>
          <w:b/>
          <w:bCs/>
          <w:color w:val="auto"/>
          <w:sz w:val="22"/>
          <w:szCs w:val="22"/>
        </w:rPr>
      </w:pPr>
      <w:bookmarkStart w:id="46" w:name="_Toc107997968"/>
      <w:bookmarkStart w:id="47" w:name="_Toc107997841"/>
      <w:r>
        <w:rPr>
          <w:rFonts w:hint="eastAsia" w:ascii="宋体" w:hAnsi="宋体" w:eastAsia="宋体" w:cs="宋体"/>
          <w:b/>
          <w:bCs/>
          <w:color w:val="auto"/>
          <w:sz w:val="22"/>
          <w:szCs w:val="22"/>
        </w:rPr>
        <w:t>6.</w:t>
      </w:r>
      <w:r>
        <w:rPr>
          <w:rFonts w:hint="eastAsia" w:ascii="宋体" w:hAnsi="宋体" w:eastAsia="宋体" w:cs="宋体"/>
          <w:b/>
          <w:bCs/>
          <w:color w:val="auto"/>
          <w:sz w:val="22"/>
          <w:szCs w:val="22"/>
          <w:lang w:eastAsia="zh-CN"/>
        </w:rPr>
        <w:t>磋商</w:t>
      </w:r>
      <w:r>
        <w:rPr>
          <w:rFonts w:hint="eastAsia" w:ascii="宋体" w:hAnsi="宋体" w:eastAsia="宋体" w:cs="宋体"/>
          <w:b/>
          <w:bCs/>
          <w:color w:val="auto"/>
          <w:sz w:val="22"/>
          <w:szCs w:val="22"/>
        </w:rPr>
        <w:t>文件的组成</w:t>
      </w:r>
      <w:bookmarkEnd w:id="46"/>
      <w:bookmarkEnd w:id="47"/>
    </w:p>
    <w:p w14:paraId="3A30791D">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6.1</w:t>
      </w:r>
      <w:r>
        <w:rPr>
          <w:rFonts w:hint="eastAsia" w:ascii="宋体" w:hAnsi="宋体" w:cs="Courier New"/>
          <w:color w:val="auto"/>
          <w:szCs w:val="21"/>
          <w:lang w:eastAsia="zh-CN"/>
        </w:rPr>
        <w:t>磋商</w:t>
      </w:r>
      <w:r>
        <w:rPr>
          <w:rFonts w:hint="eastAsia" w:ascii="宋体" w:hAnsi="宋体" w:cs="Courier New"/>
          <w:color w:val="auto"/>
          <w:szCs w:val="21"/>
        </w:rPr>
        <w:t>文件由下列文件组成：</w:t>
      </w:r>
    </w:p>
    <w:p w14:paraId="3F5443A2">
      <w:pPr>
        <w:pStyle w:val="13"/>
        <w:adjustRightInd w:val="0"/>
        <w:snapToGrid w:val="0"/>
        <w:spacing w:line="360" w:lineRule="auto"/>
        <w:ind w:firstLine="420" w:firstLineChars="200"/>
        <w:outlineLvl w:val="9"/>
        <w:rPr>
          <w:rFonts w:hint="eastAsia" w:hAnsi="宋体"/>
        </w:rPr>
      </w:pPr>
      <w:r>
        <w:rPr>
          <w:rFonts w:hint="eastAsia" w:hAnsi="宋体"/>
        </w:rPr>
        <w:t>第一章 磋商邀请</w:t>
      </w:r>
    </w:p>
    <w:p w14:paraId="15934C83">
      <w:pPr>
        <w:pStyle w:val="13"/>
        <w:adjustRightInd w:val="0"/>
        <w:snapToGrid w:val="0"/>
        <w:spacing w:line="360" w:lineRule="auto"/>
        <w:ind w:firstLine="420" w:firstLineChars="200"/>
        <w:outlineLvl w:val="9"/>
        <w:rPr>
          <w:rFonts w:hint="eastAsia" w:hAnsi="宋体"/>
        </w:rPr>
      </w:pPr>
      <w:r>
        <w:rPr>
          <w:rFonts w:hint="eastAsia" w:hAnsi="宋体"/>
        </w:rPr>
        <w:t>第二章 磋商须知</w:t>
      </w:r>
    </w:p>
    <w:p w14:paraId="043EEF85">
      <w:pPr>
        <w:pStyle w:val="13"/>
        <w:adjustRightInd w:val="0"/>
        <w:snapToGrid w:val="0"/>
        <w:spacing w:line="360" w:lineRule="auto"/>
        <w:ind w:firstLine="420" w:firstLineChars="200"/>
        <w:outlineLvl w:val="9"/>
        <w:rPr>
          <w:rFonts w:hint="eastAsia" w:hAnsi="宋体"/>
        </w:rPr>
      </w:pPr>
      <w:r>
        <w:rPr>
          <w:rFonts w:hint="eastAsia" w:hAnsi="宋体"/>
        </w:rPr>
        <w:t>第三章 政府采购合同格式条款</w:t>
      </w:r>
    </w:p>
    <w:p w14:paraId="28777647">
      <w:pPr>
        <w:pStyle w:val="13"/>
        <w:adjustRightInd w:val="0"/>
        <w:snapToGrid w:val="0"/>
        <w:spacing w:line="360" w:lineRule="auto"/>
        <w:ind w:firstLine="420" w:firstLineChars="200"/>
        <w:outlineLvl w:val="9"/>
        <w:rPr>
          <w:rFonts w:hint="eastAsia" w:hAnsi="宋体"/>
        </w:rPr>
      </w:pPr>
      <w:r>
        <w:rPr>
          <w:rFonts w:hint="eastAsia" w:hAnsi="宋体"/>
        </w:rPr>
        <w:t>第四章 评标方法及标准</w:t>
      </w:r>
    </w:p>
    <w:p w14:paraId="15DEC836">
      <w:pPr>
        <w:pStyle w:val="13"/>
        <w:adjustRightInd w:val="0"/>
        <w:snapToGrid w:val="0"/>
        <w:spacing w:line="360" w:lineRule="auto"/>
        <w:ind w:firstLine="420" w:firstLineChars="200"/>
        <w:outlineLvl w:val="9"/>
        <w:rPr>
          <w:rFonts w:hint="eastAsia" w:hAnsi="宋体"/>
        </w:rPr>
      </w:pPr>
      <w:r>
        <w:rPr>
          <w:rFonts w:hint="eastAsia" w:hAnsi="宋体"/>
        </w:rPr>
        <w:t>第五章</w:t>
      </w:r>
      <w:r>
        <w:rPr>
          <w:rFonts w:hint="eastAsia" w:hAnsi="宋体"/>
          <w:lang w:val="en-US" w:eastAsia="zh-CN"/>
        </w:rPr>
        <w:t xml:space="preserve"> </w:t>
      </w:r>
      <w:r>
        <w:rPr>
          <w:rFonts w:hint="eastAsia" w:hAnsi="宋体"/>
        </w:rPr>
        <w:t>采购需求</w:t>
      </w:r>
    </w:p>
    <w:p w14:paraId="6A64025B">
      <w:pPr>
        <w:pStyle w:val="13"/>
        <w:adjustRightInd w:val="0"/>
        <w:snapToGrid w:val="0"/>
        <w:spacing w:line="360" w:lineRule="auto"/>
        <w:ind w:firstLine="420" w:firstLineChars="200"/>
        <w:outlineLvl w:val="9"/>
        <w:rPr>
          <w:rFonts w:hint="eastAsia" w:hAnsi="宋体"/>
        </w:rPr>
      </w:pPr>
      <w:r>
        <w:rPr>
          <w:rFonts w:hint="eastAsia" w:hAnsi="宋体"/>
        </w:rPr>
        <w:t>第</w:t>
      </w:r>
      <w:r>
        <w:rPr>
          <w:rFonts w:hint="eastAsia" w:hAnsi="宋体"/>
          <w:lang w:eastAsia="zh-CN"/>
        </w:rPr>
        <w:t>六</w:t>
      </w:r>
      <w:r>
        <w:rPr>
          <w:rFonts w:hint="eastAsia" w:hAnsi="宋体"/>
        </w:rPr>
        <w:t>章 响应文件组成</w:t>
      </w:r>
    </w:p>
    <w:p w14:paraId="4D845275">
      <w:pPr>
        <w:pStyle w:val="13"/>
        <w:adjustRightInd w:val="0"/>
        <w:snapToGrid w:val="0"/>
        <w:spacing w:line="360" w:lineRule="auto"/>
        <w:ind w:firstLine="420" w:firstLineChars="200"/>
        <w:outlineLvl w:val="9"/>
        <w:rPr>
          <w:rFonts w:hint="default" w:hAnsi="宋体" w:eastAsia="宋体"/>
          <w:lang w:val="en-US" w:eastAsia="zh-CN"/>
        </w:rPr>
      </w:pPr>
      <w:r>
        <w:rPr>
          <w:rFonts w:hint="eastAsia" w:hAnsi="宋体"/>
          <w:lang w:eastAsia="zh-CN"/>
        </w:rPr>
        <w:t>第七章</w:t>
      </w:r>
      <w:r>
        <w:rPr>
          <w:rFonts w:hint="eastAsia" w:hAnsi="宋体"/>
          <w:lang w:val="en-US" w:eastAsia="zh-CN"/>
        </w:rPr>
        <w:t xml:space="preserve"> 工程量清单</w:t>
      </w:r>
    </w:p>
    <w:p w14:paraId="6549ABCD">
      <w:pPr>
        <w:adjustRightInd w:val="0"/>
        <w:snapToGrid w:val="0"/>
        <w:spacing w:line="360" w:lineRule="auto"/>
        <w:ind w:firstLine="420" w:firstLineChars="200"/>
        <w:outlineLvl w:val="9"/>
        <w:rPr>
          <w:rFonts w:ascii="宋体" w:hAnsi="宋体" w:cs="宋体"/>
          <w:color w:val="auto"/>
          <w:kern w:val="0"/>
          <w:szCs w:val="21"/>
        </w:rPr>
      </w:pPr>
      <w:r>
        <w:rPr>
          <w:rFonts w:hint="eastAsia" w:ascii="宋体" w:hAnsi="Courier New" w:cs="Courier New"/>
          <w:color w:val="auto"/>
          <w:szCs w:val="21"/>
        </w:rPr>
        <w:t>6.2</w:t>
      </w:r>
      <w:r>
        <w:rPr>
          <w:rFonts w:hint="eastAsia" w:ascii="宋体" w:hAnsi="宋体" w:cs="宋体"/>
          <w:color w:val="auto"/>
          <w:kern w:val="0"/>
          <w:szCs w:val="21"/>
        </w:rPr>
        <w:t>采购人、采购代理机构或者</w:t>
      </w:r>
      <w:r>
        <w:rPr>
          <w:rFonts w:hint="eastAsia" w:ascii="宋体" w:hAnsi="宋体" w:cs="宋体"/>
          <w:color w:val="auto"/>
          <w:kern w:val="0"/>
          <w:szCs w:val="21"/>
          <w:lang w:eastAsia="zh-CN"/>
        </w:rPr>
        <w:t>磋商</w:t>
      </w:r>
      <w:r>
        <w:rPr>
          <w:rFonts w:hint="eastAsia" w:ascii="宋体" w:hAnsi="宋体" w:cs="宋体"/>
          <w:color w:val="auto"/>
          <w:kern w:val="0"/>
          <w:szCs w:val="21"/>
        </w:rPr>
        <w:t>小组在提交首次响应文件截止之日前对已发出的</w:t>
      </w:r>
      <w:r>
        <w:rPr>
          <w:rFonts w:hint="eastAsia" w:ascii="宋体" w:hAnsi="宋体" w:cs="宋体"/>
          <w:color w:val="auto"/>
          <w:kern w:val="0"/>
          <w:szCs w:val="21"/>
          <w:lang w:eastAsia="zh-CN"/>
        </w:rPr>
        <w:t>磋商</w:t>
      </w:r>
      <w:r>
        <w:rPr>
          <w:rFonts w:hint="eastAsia" w:ascii="宋体" w:hAnsi="宋体" w:cs="宋体"/>
          <w:color w:val="auto"/>
          <w:kern w:val="0"/>
          <w:szCs w:val="21"/>
        </w:rPr>
        <w:t>文件进行的澄清或者修改，构成</w:t>
      </w:r>
      <w:r>
        <w:rPr>
          <w:rFonts w:hint="eastAsia" w:ascii="宋体" w:hAnsi="宋体" w:cs="宋体"/>
          <w:color w:val="auto"/>
          <w:kern w:val="0"/>
          <w:szCs w:val="21"/>
          <w:lang w:eastAsia="zh-CN"/>
        </w:rPr>
        <w:t>磋商</w:t>
      </w:r>
      <w:r>
        <w:rPr>
          <w:rFonts w:hint="eastAsia" w:ascii="宋体" w:hAnsi="宋体" w:cs="宋体"/>
          <w:color w:val="auto"/>
          <w:kern w:val="0"/>
          <w:szCs w:val="21"/>
        </w:rPr>
        <w:t>文件的组成部分。</w:t>
      </w:r>
    </w:p>
    <w:p w14:paraId="488B42CB">
      <w:pPr>
        <w:adjustRightInd w:val="0"/>
        <w:snapToGrid w:val="0"/>
        <w:spacing w:line="360" w:lineRule="auto"/>
        <w:ind w:firstLine="420" w:firstLineChars="200"/>
        <w:outlineLvl w:val="9"/>
        <w:rPr>
          <w:rFonts w:ascii="宋体" w:hAnsi="Courier New" w:cs="Courier New"/>
          <w:color w:val="auto"/>
          <w:szCs w:val="21"/>
        </w:rPr>
      </w:pPr>
      <w:r>
        <w:rPr>
          <w:rFonts w:hint="eastAsia" w:ascii="宋体" w:hAnsi="宋体" w:cs="宋体"/>
          <w:color w:val="auto"/>
          <w:kern w:val="0"/>
          <w:szCs w:val="21"/>
        </w:rPr>
        <w:t>6.3</w:t>
      </w:r>
      <w:r>
        <w:rPr>
          <w:rFonts w:hint="eastAsia" w:ascii="宋体" w:hAnsi="宋体" w:cs="宋体"/>
          <w:color w:val="auto"/>
          <w:kern w:val="0"/>
          <w:szCs w:val="21"/>
          <w:lang w:eastAsia="zh-CN"/>
        </w:rPr>
        <w:t>磋商</w:t>
      </w:r>
      <w:r>
        <w:rPr>
          <w:rFonts w:hint="eastAsia" w:ascii="宋体" w:hAnsi="宋体" w:cs="宋体"/>
          <w:color w:val="auto"/>
          <w:kern w:val="0"/>
          <w:szCs w:val="21"/>
        </w:rPr>
        <w:t>文件中，</w:t>
      </w:r>
      <w:r>
        <w:rPr>
          <w:rFonts w:hint="eastAsia" w:ascii="宋体" w:hAnsi="宋体" w:cs="宋体"/>
          <w:color w:val="auto"/>
          <w:kern w:val="0"/>
          <w:szCs w:val="21"/>
          <w:lang w:eastAsia="zh-CN"/>
        </w:rPr>
        <w:t>磋商</w:t>
      </w:r>
      <w:r>
        <w:rPr>
          <w:rFonts w:hint="eastAsia" w:ascii="宋体" w:hAnsi="宋体" w:cs="宋体"/>
          <w:color w:val="auto"/>
          <w:kern w:val="0"/>
          <w:szCs w:val="21"/>
        </w:rPr>
        <w:t>小组根据与供应商</w:t>
      </w:r>
      <w:r>
        <w:rPr>
          <w:rFonts w:hint="eastAsia" w:ascii="宋体" w:hAnsi="宋体" w:cs="宋体"/>
          <w:color w:val="auto"/>
          <w:kern w:val="0"/>
          <w:szCs w:val="21"/>
          <w:lang w:eastAsia="zh-CN"/>
        </w:rPr>
        <w:t>磋商</w:t>
      </w:r>
      <w:r>
        <w:rPr>
          <w:rFonts w:hint="eastAsia" w:ascii="宋体" w:hAnsi="宋体" w:cs="宋体"/>
          <w:color w:val="auto"/>
          <w:kern w:val="0"/>
          <w:szCs w:val="21"/>
        </w:rPr>
        <w:t>情况可能实质性变动的内容见</w:t>
      </w:r>
      <w:r>
        <w:rPr>
          <w:rFonts w:hint="eastAsia" w:ascii="宋体" w:hAnsi="宋体" w:cs="Courier New"/>
          <w:b/>
          <w:color w:val="auto"/>
          <w:szCs w:val="21"/>
        </w:rPr>
        <w:t>【</w:t>
      </w:r>
      <w:r>
        <w:rPr>
          <w:rFonts w:hint="eastAsia" w:ascii="宋体" w:hAnsi="宋体" w:cs="Courier New"/>
          <w:b/>
          <w:color w:val="auto"/>
          <w:szCs w:val="21"/>
          <w:lang w:eastAsia="zh-CN"/>
        </w:rPr>
        <w:t>磋商</w:t>
      </w:r>
      <w:r>
        <w:rPr>
          <w:rFonts w:hint="eastAsia" w:ascii="宋体" w:hAnsi="宋体" w:cs="Courier New"/>
          <w:b/>
          <w:color w:val="auto"/>
          <w:szCs w:val="21"/>
        </w:rPr>
        <w:t>须知前附表】</w:t>
      </w:r>
      <w:r>
        <w:rPr>
          <w:rFonts w:hint="eastAsia" w:ascii="宋体" w:hAnsi="宋体" w:cs="宋体"/>
          <w:color w:val="auto"/>
          <w:kern w:val="0"/>
          <w:szCs w:val="21"/>
        </w:rPr>
        <w:t>。对</w:t>
      </w:r>
      <w:r>
        <w:rPr>
          <w:rFonts w:hint="eastAsia" w:ascii="宋体" w:hAnsi="宋体" w:cs="宋体"/>
          <w:color w:val="auto"/>
          <w:kern w:val="0"/>
          <w:szCs w:val="21"/>
          <w:lang w:eastAsia="zh-CN"/>
        </w:rPr>
        <w:t>磋商</w:t>
      </w:r>
      <w:r>
        <w:rPr>
          <w:rFonts w:hint="eastAsia" w:ascii="宋体" w:hAnsi="宋体" w:cs="宋体"/>
          <w:color w:val="auto"/>
          <w:kern w:val="0"/>
          <w:szCs w:val="21"/>
        </w:rPr>
        <w:t>文件作出的实质性变动是</w:t>
      </w:r>
      <w:r>
        <w:rPr>
          <w:rFonts w:hint="eastAsia" w:ascii="宋体" w:hAnsi="宋体" w:cs="宋体"/>
          <w:color w:val="auto"/>
          <w:kern w:val="0"/>
          <w:szCs w:val="21"/>
          <w:lang w:eastAsia="zh-CN"/>
        </w:rPr>
        <w:t>磋商</w:t>
      </w:r>
      <w:r>
        <w:rPr>
          <w:rFonts w:hint="eastAsia" w:ascii="宋体" w:hAnsi="宋体" w:cs="宋体"/>
          <w:color w:val="auto"/>
          <w:kern w:val="0"/>
          <w:szCs w:val="21"/>
        </w:rPr>
        <w:t>文件的有效组成部分。</w:t>
      </w:r>
    </w:p>
    <w:p w14:paraId="518A14E9">
      <w:pPr>
        <w:adjustRightInd w:val="0"/>
        <w:snapToGrid w:val="0"/>
        <w:spacing w:line="360" w:lineRule="auto"/>
        <w:ind w:firstLine="420" w:firstLineChars="200"/>
        <w:outlineLvl w:val="9"/>
        <w:rPr>
          <w:rFonts w:ascii="宋体" w:hAnsi="宋体" w:cs="Courier New"/>
          <w:color w:val="auto"/>
          <w:szCs w:val="21"/>
        </w:rPr>
      </w:pPr>
      <w:r>
        <w:rPr>
          <w:rFonts w:hint="eastAsia" w:ascii="宋体" w:hAnsi="Courier New" w:cs="Courier New"/>
          <w:color w:val="auto"/>
          <w:szCs w:val="21"/>
        </w:rPr>
        <w:t>6.4</w:t>
      </w:r>
      <w:r>
        <w:rPr>
          <w:rFonts w:hint="eastAsia" w:ascii="宋体" w:hAnsi="宋体" w:cs="Courier New"/>
          <w:color w:val="auto"/>
          <w:szCs w:val="21"/>
        </w:rPr>
        <w:t>供应商应仔细阅读</w:t>
      </w:r>
      <w:r>
        <w:rPr>
          <w:rFonts w:hint="eastAsia" w:ascii="宋体" w:hAnsi="宋体" w:cs="Courier New"/>
          <w:bCs/>
          <w:color w:val="auto"/>
          <w:szCs w:val="21"/>
          <w:lang w:eastAsia="zh-CN"/>
        </w:rPr>
        <w:t>磋商</w:t>
      </w:r>
      <w:r>
        <w:rPr>
          <w:rFonts w:hint="eastAsia" w:ascii="宋体" w:hAnsi="宋体" w:cs="Courier New"/>
          <w:color w:val="auto"/>
          <w:szCs w:val="21"/>
        </w:rPr>
        <w:t>文件的全部内容，按照</w:t>
      </w:r>
      <w:r>
        <w:rPr>
          <w:rFonts w:hint="eastAsia" w:ascii="宋体" w:hAnsi="宋体" w:cs="Courier New"/>
          <w:bCs/>
          <w:color w:val="auto"/>
          <w:szCs w:val="21"/>
          <w:lang w:eastAsia="zh-CN"/>
        </w:rPr>
        <w:t>磋商</w:t>
      </w:r>
      <w:r>
        <w:rPr>
          <w:rFonts w:hint="eastAsia" w:ascii="宋体" w:hAnsi="宋体" w:cs="Courier New"/>
          <w:color w:val="auto"/>
          <w:szCs w:val="21"/>
        </w:rPr>
        <w:t>文件要求编制</w:t>
      </w:r>
      <w:r>
        <w:rPr>
          <w:rFonts w:hint="eastAsia" w:ascii="宋体" w:hAnsi="Courier New" w:cs="Courier New"/>
          <w:color w:val="auto"/>
          <w:szCs w:val="21"/>
        </w:rPr>
        <w:t>响应</w:t>
      </w:r>
      <w:r>
        <w:rPr>
          <w:rFonts w:hint="eastAsia" w:ascii="宋体" w:hAnsi="宋体" w:cs="Courier New"/>
          <w:color w:val="auto"/>
          <w:szCs w:val="21"/>
        </w:rPr>
        <w:t>文件。任何对</w:t>
      </w:r>
      <w:r>
        <w:rPr>
          <w:rFonts w:hint="eastAsia" w:ascii="宋体" w:hAnsi="宋体" w:cs="Courier New"/>
          <w:bCs/>
          <w:color w:val="auto"/>
          <w:szCs w:val="21"/>
          <w:lang w:eastAsia="zh-CN"/>
        </w:rPr>
        <w:t>磋商</w:t>
      </w:r>
      <w:r>
        <w:rPr>
          <w:rFonts w:hint="eastAsia" w:ascii="宋体" w:hAnsi="宋体" w:cs="Courier New"/>
          <w:color w:val="auto"/>
          <w:szCs w:val="21"/>
        </w:rPr>
        <w:t>文件的忽略或误解不能作为</w:t>
      </w:r>
      <w:r>
        <w:rPr>
          <w:rFonts w:hint="eastAsia" w:ascii="宋体" w:hAnsi="Courier New" w:cs="Courier New"/>
          <w:color w:val="auto"/>
          <w:szCs w:val="21"/>
        </w:rPr>
        <w:t>响应</w:t>
      </w:r>
      <w:r>
        <w:rPr>
          <w:rFonts w:hint="eastAsia" w:ascii="宋体" w:hAnsi="宋体" w:cs="Courier New"/>
          <w:color w:val="auto"/>
          <w:szCs w:val="21"/>
        </w:rPr>
        <w:t>文件存在缺陷或瑕疵的理由，其风险由供应商承担。</w:t>
      </w:r>
    </w:p>
    <w:p w14:paraId="67973DD6">
      <w:pPr>
        <w:spacing w:line="360" w:lineRule="auto"/>
        <w:outlineLvl w:val="9"/>
        <w:rPr>
          <w:rFonts w:hint="eastAsia" w:ascii="宋体" w:hAnsi="宋体" w:eastAsia="宋体" w:cs="宋体"/>
          <w:b/>
          <w:bCs/>
          <w:color w:val="auto"/>
          <w:sz w:val="22"/>
          <w:szCs w:val="22"/>
        </w:rPr>
      </w:pPr>
      <w:bookmarkStart w:id="48" w:name="_Toc107997842"/>
      <w:bookmarkStart w:id="49" w:name="_Toc107997969"/>
      <w:r>
        <w:rPr>
          <w:rFonts w:hint="eastAsia" w:ascii="宋体" w:hAnsi="宋体" w:eastAsia="宋体" w:cs="宋体"/>
          <w:b/>
          <w:bCs/>
          <w:color w:val="auto"/>
          <w:sz w:val="22"/>
          <w:szCs w:val="22"/>
        </w:rPr>
        <w:t>7.</w:t>
      </w:r>
      <w:r>
        <w:rPr>
          <w:rFonts w:hint="eastAsia" w:ascii="宋体" w:hAnsi="宋体" w:eastAsia="宋体" w:cs="宋体"/>
          <w:b/>
          <w:bCs/>
          <w:color w:val="auto"/>
          <w:sz w:val="22"/>
          <w:szCs w:val="22"/>
          <w:lang w:eastAsia="zh-CN"/>
        </w:rPr>
        <w:t>磋商</w:t>
      </w:r>
      <w:r>
        <w:rPr>
          <w:rFonts w:hint="eastAsia" w:ascii="宋体" w:hAnsi="宋体" w:eastAsia="宋体" w:cs="宋体"/>
          <w:b/>
          <w:bCs/>
          <w:color w:val="auto"/>
          <w:sz w:val="22"/>
          <w:szCs w:val="22"/>
        </w:rPr>
        <w:t>文件的澄清</w:t>
      </w:r>
      <w:r>
        <w:rPr>
          <w:rFonts w:hint="eastAsia" w:ascii="宋体" w:hAnsi="宋体" w:eastAsia="宋体" w:cs="宋体"/>
          <w:b/>
          <w:bCs/>
          <w:color w:val="auto"/>
          <w:sz w:val="22"/>
          <w:szCs w:val="22"/>
          <w:lang w:val="zh-CN"/>
        </w:rPr>
        <w:t>或者</w:t>
      </w:r>
      <w:r>
        <w:rPr>
          <w:rFonts w:hint="eastAsia" w:ascii="宋体" w:hAnsi="宋体" w:eastAsia="宋体" w:cs="宋体"/>
          <w:b/>
          <w:bCs/>
          <w:color w:val="auto"/>
          <w:sz w:val="22"/>
          <w:szCs w:val="22"/>
        </w:rPr>
        <w:t>修改</w:t>
      </w:r>
      <w:bookmarkEnd w:id="48"/>
      <w:bookmarkEnd w:id="49"/>
    </w:p>
    <w:p w14:paraId="54E09659">
      <w:pPr>
        <w:adjustRightInd w:val="0"/>
        <w:snapToGrid w:val="0"/>
        <w:spacing w:line="360" w:lineRule="auto"/>
        <w:ind w:right="-105" w:rightChars="-50" w:firstLine="420" w:firstLineChars="200"/>
        <w:outlineLvl w:val="9"/>
        <w:rPr>
          <w:rFonts w:ascii="宋体" w:hAnsi="宋体" w:cs="宋体"/>
          <w:color w:val="auto"/>
          <w:kern w:val="0"/>
          <w:szCs w:val="21"/>
        </w:rPr>
      </w:pPr>
      <w:r>
        <w:rPr>
          <w:rFonts w:hint="eastAsia" w:ascii="宋体" w:hAnsi="宋体"/>
          <w:color w:val="auto"/>
          <w:szCs w:val="21"/>
        </w:rPr>
        <w:t>7.1在</w:t>
      </w:r>
      <w:r>
        <w:rPr>
          <w:rFonts w:hint="eastAsia" w:ascii="宋体" w:hAnsi="宋体" w:cs="宋体"/>
          <w:color w:val="auto"/>
          <w:kern w:val="0"/>
          <w:szCs w:val="21"/>
        </w:rPr>
        <w:t>提交首次响应文件截止之日前，采购人、采购代理机构或者</w:t>
      </w:r>
      <w:r>
        <w:rPr>
          <w:rFonts w:hint="eastAsia" w:ascii="宋体" w:hAnsi="宋体" w:cs="宋体"/>
          <w:color w:val="auto"/>
          <w:kern w:val="0"/>
          <w:szCs w:val="21"/>
          <w:lang w:eastAsia="zh-CN"/>
        </w:rPr>
        <w:t>磋商</w:t>
      </w:r>
      <w:r>
        <w:rPr>
          <w:rFonts w:hint="eastAsia" w:ascii="宋体" w:hAnsi="宋体" w:cs="宋体"/>
          <w:color w:val="auto"/>
          <w:kern w:val="0"/>
          <w:szCs w:val="21"/>
        </w:rPr>
        <w:t>小组可以对已发出的</w:t>
      </w:r>
      <w:r>
        <w:rPr>
          <w:rFonts w:hint="eastAsia" w:ascii="宋体" w:hAnsi="宋体" w:cs="宋体"/>
          <w:color w:val="auto"/>
          <w:kern w:val="0"/>
          <w:szCs w:val="21"/>
          <w:lang w:eastAsia="zh-CN"/>
        </w:rPr>
        <w:t>磋商</w:t>
      </w:r>
      <w:r>
        <w:rPr>
          <w:rFonts w:hint="eastAsia" w:ascii="宋体" w:hAnsi="宋体" w:cs="宋体"/>
          <w:color w:val="auto"/>
          <w:kern w:val="0"/>
          <w:szCs w:val="21"/>
        </w:rPr>
        <w:t>文件进行必要的澄清或者修改。</w:t>
      </w:r>
    </w:p>
    <w:p w14:paraId="577BD728">
      <w:pPr>
        <w:adjustRightInd w:val="0"/>
        <w:snapToGrid w:val="0"/>
        <w:spacing w:line="360" w:lineRule="auto"/>
        <w:ind w:right="-105" w:rightChars="-50" w:firstLine="420" w:firstLineChars="200"/>
        <w:outlineLvl w:val="9"/>
        <w:rPr>
          <w:rFonts w:ascii="宋体" w:hAnsi="宋体" w:cs="宋体"/>
          <w:color w:val="auto"/>
          <w:kern w:val="0"/>
          <w:szCs w:val="21"/>
        </w:rPr>
      </w:pPr>
      <w:r>
        <w:rPr>
          <w:rFonts w:hint="eastAsia" w:ascii="宋体" w:hAnsi="宋体"/>
          <w:color w:val="auto"/>
          <w:szCs w:val="21"/>
        </w:rPr>
        <w:t>7.2</w:t>
      </w:r>
      <w:r>
        <w:rPr>
          <w:rFonts w:hint="eastAsia" w:ascii="宋体" w:hAnsi="宋体" w:cs="宋体"/>
          <w:color w:val="auto"/>
          <w:kern w:val="0"/>
          <w:szCs w:val="21"/>
        </w:rPr>
        <w:t>澄清或者修改的内容可能影响响应文件编制的，采购人、采购代理机构或者</w:t>
      </w:r>
      <w:r>
        <w:rPr>
          <w:rFonts w:hint="eastAsia" w:ascii="宋体" w:hAnsi="宋体" w:cs="宋体"/>
          <w:color w:val="auto"/>
          <w:kern w:val="0"/>
          <w:szCs w:val="21"/>
          <w:lang w:eastAsia="zh-CN"/>
        </w:rPr>
        <w:t>磋商</w:t>
      </w:r>
      <w:r>
        <w:rPr>
          <w:rFonts w:hint="eastAsia" w:ascii="宋体" w:hAnsi="宋体" w:cs="宋体"/>
          <w:color w:val="auto"/>
          <w:kern w:val="0"/>
          <w:szCs w:val="21"/>
        </w:rPr>
        <w:t>小组应当在提交首次响应文件截止之日</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rPr>
        <w:t>个工作日前，以书面形式通知所有接收</w:t>
      </w:r>
      <w:r>
        <w:rPr>
          <w:rFonts w:hint="eastAsia" w:ascii="宋体" w:hAnsi="宋体" w:cs="宋体"/>
          <w:color w:val="auto"/>
          <w:kern w:val="0"/>
          <w:szCs w:val="21"/>
          <w:lang w:eastAsia="zh-CN"/>
        </w:rPr>
        <w:t>磋商</w:t>
      </w:r>
      <w:r>
        <w:rPr>
          <w:rFonts w:hint="eastAsia" w:ascii="宋体" w:hAnsi="宋体" w:cs="宋体"/>
          <w:color w:val="auto"/>
          <w:kern w:val="0"/>
          <w:szCs w:val="21"/>
        </w:rPr>
        <w:t>文件的供应商，不足</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rPr>
        <w:t>个工作日的，顺延供应商提交首次响应文件截止时间。</w:t>
      </w:r>
    </w:p>
    <w:p w14:paraId="5B88C32D">
      <w:pPr>
        <w:adjustRightInd w:val="0"/>
        <w:snapToGrid w:val="0"/>
        <w:spacing w:line="360" w:lineRule="auto"/>
        <w:jc w:val="center"/>
        <w:outlineLvl w:val="9"/>
        <w:rPr>
          <w:rFonts w:hint="eastAsia" w:ascii="宋体" w:hAnsi="宋体" w:eastAsia="宋体" w:cs="宋体"/>
          <w:b/>
          <w:bCs/>
          <w:color w:val="auto"/>
          <w:sz w:val="24"/>
          <w:szCs w:val="24"/>
        </w:rPr>
      </w:pPr>
      <w:bookmarkStart w:id="50" w:name="_Toc18700"/>
      <w:bookmarkStart w:id="51" w:name="_Toc107997970"/>
      <w:r>
        <w:rPr>
          <w:rFonts w:hint="eastAsia" w:ascii="宋体" w:hAnsi="宋体" w:eastAsia="宋体" w:cs="宋体"/>
          <w:b/>
          <w:bCs/>
          <w:color w:val="auto"/>
          <w:sz w:val="24"/>
          <w:szCs w:val="24"/>
        </w:rPr>
        <w:t>三、响应文件</w:t>
      </w:r>
      <w:bookmarkEnd w:id="50"/>
      <w:bookmarkEnd w:id="51"/>
    </w:p>
    <w:p w14:paraId="7479AA22">
      <w:pPr>
        <w:spacing w:line="360" w:lineRule="auto"/>
        <w:outlineLvl w:val="9"/>
        <w:rPr>
          <w:rFonts w:ascii="黑体" w:hAnsi="黑体" w:eastAsia="黑体"/>
          <w:b/>
          <w:bCs/>
          <w:color w:val="auto"/>
          <w:sz w:val="24"/>
        </w:rPr>
      </w:pPr>
      <w:bookmarkStart w:id="52" w:name="_Toc107997971"/>
      <w:bookmarkStart w:id="53" w:name="_Toc107997844"/>
      <w:r>
        <w:rPr>
          <w:rFonts w:hint="eastAsia" w:ascii="宋体" w:hAnsi="宋体" w:eastAsia="宋体" w:cs="宋体"/>
          <w:b/>
          <w:bCs/>
          <w:color w:val="auto"/>
          <w:sz w:val="22"/>
          <w:szCs w:val="22"/>
        </w:rPr>
        <w:t>8.一般要求</w:t>
      </w:r>
      <w:bookmarkEnd w:id="52"/>
      <w:bookmarkEnd w:id="53"/>
    </w:p>
    <w:p w14:paraId="77005E13">
      <w:pPr>
        <w:adjustRightInd w:val="0"/>
        <w:snapToGrid w:val="0"/>
        <w:spacing w:line="360" w:lineRule="auto"/>
        <w:ind w:firstLine="420" w:firstLineChars="200"/>
        <w:outlineLvl w:val="9"/>
        <w:rPr>
          <w:rFonts w:ascii="宋体" w:hAnsi="宋体"/>
          <w:bCs/>
          <w:color w:val="auto"/>
          <w:szCs w:val="21"/>
        </w:rPr>
      </w:pPr>
      <w:r>
        <w:rPr>
          <w:rFonts w:hint="eastAsia" w:ascii="宋体" w:hAnsi="宋体"/>
          <w:bCs/>
          <w:color w:val="auto"/>
          <w:szCs w:val="21"/>
        </w:rPr>
        <w:t>8.1供应商应仔细阅读</w:t>
      </w:r>
      <w:r>
        <w:rPr>
          <w:rFonts w:hint="eastAsia" w:ascii="宋体" w:hAnsi="宋体"/>
          <w:bCs/>
          <w:color w:val="auto"/>
          <w:szCs w:val="21"/>
          <w:lang w:eastAsia="zh-CN"/>
        </w:rPr>
        <w:t>磋商</w:t>
      </w:r>
      <w:r>
        <w:rPr>
          <w:rFonts w:hint="eastAsia" w:ascii="宋体" w:hAnsi="宋体"/>
          <w:bCs/>
          <w:color w:val="auto"/>
          <w:szCs w:val="21"/>
        </w:rPr>
        <w:t>文件的所有内容，按</w:t>
      </w:r>
      <w:r>
        <w:rPr>
          <w:rFonts w:hint="eastAsia" w:ascii="宋体" w:hAnsi="宋体"/>
          <w:bCs/>
          <w:color w:val="auto"/>
          <w:szCs w:val="21"/>
          <w:lang w:eastAsia="zh-CN"/>
        </w:rPr>
        <w:t>磋商</w:t>
      </w:r>
      <w:r>
        <w:rPr>
          <w:rFonts w:hint="eastAsia" w:ascii="宋体" w:hAnsi="宋体"/>
          <w:bCs/>
          <w:color w:val="auto"/>
          <w:szCs w:val="21"/>
        </w:rPr>
        <w:t>文件的要求编制响应文件，并保证所提供的全部资料的真实性，以使其响应文件对</w:t>
      </w:r>
      <w:r>
        <w:rPr>
          <w:rFonts w:hint="eastAsia" w:ascii="宋体" w:hAnsi="宋体"/>
          <w:bCs/>
          <w:color w:val="auto"/>
          <w:szCs w:val="21"/>
          <w:lang w:eastAsia="zh-CN"/>
        </w:rPr>
        <w:t>磋商</w:t>
      </w:r>
      <w:r>
        <w:rPr>
          <w:rFonts w:hint="eastAsia" w:ascii="宋体" w:hAnsi="宋体"/>
          <w:bCs/>
          <w:color w:val="auto"/>
          <w:szCs w:val="21"/>
        </w:rPr>
        <w:t>文件做出实质性的响应。</w:t>
      </w:r>
    </w:p>
    <w:p w14:paraId="7C50B139">
      <w:pPr>
        <w:adjustRightInd w:val="0"/>
        <w:snapToGrid w:val="0"/>
        <w:spacing w:line="360" w:lineRule="auto"/>
        <w:ind w:firstLine="420" w:firstLineChars="200"/>
        <w:outlineLvl w:val="9"/>
        <w:rPr>
          <w:rFonts w:ascii="宋体" w:hAnsi="宋体"/>
          <w:bCs/>
          <w:color w:val="auto"/>
          <w:szCs w:val="21"/>
        </w:rPr>
      </w:pPr>
      <w:r>
        <w:rPr>
          <w:rFonts w:hint="eastAsia" w:ascii="宋体" w:hAnsi="宋体"/>
          <w:bCs/>
          <w:color w:val="auto"/>
          <w:szCs w:val="21"/>
        </w:rPr>
        <w:t>8.2</w:t>
      </w:r>
      <w:r>
        <w:rPr>
          <w:rFonts w:hint="eastAsia" w:ascii="宋体" w:hAnsi="宋体"/>
          <w:color w:val="auto"/>
          <w:szCs w:val="21"/>
        </w:rPr>
        <w:t>供应商提交的响应文件及供应商与采购人或采购代理机构、</w:t>
      </w:r>
      <w:r>
        <w:rPr>
          <w:rFonts w:hint="eastAsia" w:ascii="宋体" w:hAnsi="宋体"/>
          <w:color w:val="auto"/>
          <w:szCs w:val="21"/>
          <w:lang w:eastAsia="zh-CN"/>
        </w:rPr>
        <w:t>磋商</w:t>
      </w:r>
      <w:r>
        <w:rPr>
          <w:rFonts w:hint="eastAsia" w:ascii="宋体" w:hAnsi="宋体"/>
          <w:color w:val="auto"/>
          <w:szCs w:val="21"/>
        </w:rPr>
        <w:t>小组就有关</w:t>
      </w:r>
      <w:r>
        <w:rPr>
          <w:rFonts w:hint="eastAsia" w:ascii="宋体" w:hAnsi="宋体"/>
          <w:color w:val="auto"/>
          <w:szCs w:val="21"/>
          <w:lang w:eastAsia="zh-CN"/>
        </w:rPr>
        <w:t>磋商</w:t>
      </w:r>
      <w:r>
        <w:rPr>
          <w:rFonts w:hint="eastAsia" w:ascii="宋体" w:hAnsi="宋体"/>
          <w:color w:val="auto"/>
          <w:szCs w:val="21"/>
        </w:rPr>
        <w:t>的所有来往函电均使用中文。供应商可以提交其他语言的资料，但应附中文注释，在有差异时以中文为准。</w:t>
      </w:r>
    </w:p>
    <w:p w14:paraId="4EA9739A">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bCs/>
          <w:color w:val="auto"/>
          <w:szCs w:val="21"/>
        </w:rPr>
        <w:t>8.3</w:t>
      </w:r>
      <w:r>
        <w:rPr>
          <w:rFonts w:hint="eastAsia" w:ascii="宋体" w:hAnsi="宋体" w:cs="Courier New"/>
          <w:color w:val="auto"/>
          <w:szCs w:val="21"/>
        </w:rPr>
        <w:t>计量单位应使用我国法定计量单位，未列明时应默认为我国法定计量单位。</w:t>
      </w:r>
    </w:p>
    <w:p w14:paraId="0DEC678E">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8.4响应文件应采用书面形式，电报、传真、电子邮件形式的响应文件概不接受。</w:t>
      </w:r>
    </w:p>
    <w:p w14:paraId="542296D6">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szCs w:val="21"/>
        </w:rPr>
        <w:t>8.5供应商应按</w:t>
      </w:r>
      <w:r>
        <w:rPr>
          <w:rFonts w:hint="eastAsia" w:ascii="宋体" w:hAnsi="宋体"/>
          <w:color w:val="auto"/>
          <w:szCs w:val="21"/>
          <w:lang w:eastAsia="zh-CN"/>
        </w:rPr>
        <w:t>磋商</w:t>
      </w:r>
      <w:r>
        <w:rPr>
          <w:rFonts w:hint="eastAsia" w:ascii="宋体" w:hAnsi="宋体"/>
          <w:color w:val="auto"/>
          <w:szCs w:val="21"/>
        </w:rPr>
        <w:t>文件中提供的响应文件格式填写。</w:t>
      </w:r>
    </w:p>
    <w:p w14:paraId="0D30EECE">
      <w:pPr>
        <w:spacing w:line="360" w:lineRule="auto"/>
        <w:outlineLvl w:val="9"/>
        <w:rPr>
          <w:rFonts w:hint="eastAsia" w:ascii="宋体" w:hAnsi="宋体" w:eastAsia="宋体" w:cs="宋体"/>
          <w:b/>
          <w:bCs/>
          <w:color w:val="auto"/>
          <w:sz w:val="22"/>
          <w:szCs w:val="22"/>
        </w:rPr>
      </w:pPr>
      <w:bookmarkStart w:id="54" w:name="_Toc107997845"/>
      <w:bookmarkStart w:id="55" w:name="_Toc107997972"/>
      <w:r>
        <w:rPr>
          <w:rFonts w:hint="eastAsia" w:ascii="宋体" w:hAnsi="宋体" w:eastAsia="宋体" w:cs="宋体"/>
          <w:b/>
          <w:bCs/>
          <w:color w:val="auto"/>
          <w:sz w:val="22"/>
          <w:szCs w:val="22"/>
        </w:rPr>
        <w:t>9.响应文件的组成</w:t>
      </w:r>
      <w:bookmarkEnd w:id="54"/>
      <w:bookmarkEnd w:id="55"/>
    </w:p>
    <w:p w14:paraId="471231CE">
      <w:pPr>
        <w:adjustRightInd w:val="0"/>
        <w:snapToGrid w:val="0"/>
        <w:spacing w:before="156" w:beforeLines="50"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9.1响应文件包括下列内容：</w:t>
      </w:r>
    </w:p>
    <w:p w14:paraId="19C7A072">
      <w:pPr>
        <w:bidi w:val="0"/>
        <w:outlineLvl w:val="9"/>
        <w:rPr>
          <w:rFonts w:hint="eastAsia"/>
          <w:b/>
          <w:bCs/>
        </w:rPr>
      </w:pPr>
      <w:bookmarkStart w:id="56" w:name="_Toc1159"/>
      <w:r>
        <w:rPr>
          <w:rFonts w:hint="eastAsia"/>
          <w:b/>
          <w:bCs/>
        </w:rPr>
        <w:t>一、磋商响应声明</w:t>
      </w:r>
      <w:bookmarkEnd w:id="56"/>
    </w:p>
    <w:p w14:paraId="6979B6E1">
      <w:pPr>
        <w:bidi w:val="0"/>
        <w:ind w:firstLine="210" w:firstLineChars="100"/>
        <w:outlineLvl w:val="9"/>
        <w:rPr>
          <w:rFonts w:hint="eastAsia"/>
        </w:rPr>
      </w:pPr>
      <w:bookmarkStart w:id="57" w:name="_Toc27911"/>
      <w:r>
        <w:rPr>
          <w:rFonts w:hint="eastAsia"/>
        </w:rPr>
        <w:t>附件1：法定代表人身份证明</w:t>
      </w:r>
      <w:bookmarkEnd w:id="57"/>
    </w:p>
    <w:p w14:paraId="473FABCF">
      <w:pPr>
        <w:bidi w:val="0"/>
        <w:ind w:firstLine="210" w:firstLineChars="100"/>
        <w:outlineLvl w:val="9"/>
        <w:rPr>
          <w:rFonts w:hint="eastAsia"/>
        </w:rPr>
      </w:pPr>
      <w:bookmarkStart w:id="58" w:name="_Toc25806"/>
      <w:r>
        <w:rPr>
          <w:rFonts w:hint="eastAsia"/>
        </w:rPr>
        <w:t>附件2：法定代表人授权委托书</w:t>
      </w:r>
      <w:bookmarkEnd w:id="58"/>
    </w:p>
    <w:p w14:paraId="6FFB9EFE">
      <w:pPr>
        <w:bidi w:val="0"/>
        <w:ind w:firstLine="210" w:firstLineChars="100"/>
        <w:outlineLvl w:val="9"/>
        <w:rPr>
          <w:rFonts w:hint="eastAsia"/>
          <w:lang w:val="en-US" w:eastAsia="zh-CN"/>
        </w:rPr>
      </w:pPr>
      <w:bookmarkStart w:id="59" w:name="_Toc8468"/>
      <w:r>
        <w:rPr>
          <w:rFonts w:hint="eastAsia"/>
          <w:lang w:val="en-US" w:eastAsia="zh-CN"/>
        </w:rPr>
        <w:t>附件3：工程质量保修书(工程类项目适用)</w:t>
      </w:r>
      <w:bookmarkEnd w:id="59"/>
    </w:p>
    <w:p w14:paraId="73D04E83">
      <w:pPr>
        <w:bidi w:val="0"/>
        <w:outlineLvl w:val="9"/>
        <w:rPr>
          <w:rFonts w:hint="eastAsia"/>
          <w:b/>
          <w:bCs/>
        </w:rPr>
      </w:pPr>
      <w:bookmarkStart w:id="60" w:name="_Toc6946"/>
      <w:r>
        <w:rPr>
          <w:rFonts w:hint="eastAsia"/>
          <w:b/>
          <w:bCs/>
          <w:lang w:eastAsia="zh-CN"/>
        </w:rPr>
        <w:t>二</w:t>
      </w:r>
      <w:r>
        <w:rPr>
          <w:rFonts w:hint="eastAsia"/>
          <w:b/>
          <w:bCs/>
        </w:rPr>
        <w:t>、联合体协议(格式)</w:t>
      </w:r>
      <w:bookmarkEnd w:id="60"/>
    </w:p>
    <w:p w14:paraId="2E06795C">
      <w:pPr>
        <w:bidi w:val="0"/>
        <w:outlineLvl w:val="9"/>
        <w:rPr>
          <w:rFonts w:hint="eastAsia"/>
          <w:b/>
          <w:bCs/>
        </w:rPr>
      </w:pPr>
      <w:bookmarkStart w:id="61" w:name="_Toc4935"/>
      <w:r>
        <w:rPr>
          <w:rFonts w:hint="eastAsia"/>
          <w:b/>
          <w:bCs/>
          <w:lang w:eastAsia="zh-CN"/>
        </w:rPr>
        <w:t>三</w:t>
      </w:r>
      <w:r>
        <w:rPr>
          <w:rFonts w:hint="eastAsia"/>
          <w:b/>
          <w:bCs/>
        </w:rPr>
        <w:t>、供应商的资格证明资料</w:t>
      </w:r>
      <w:bookmarkEnd w:id="61"/>
    </w:p>
    <w:p w14:paraId="290206A7">
      <w:pPr>
        <w:bidi w:val="0"/>
        <w:ind w:firstLine="210" w:firstLineChars="100"/>
        <w:outlineLvl w:val="9"/>
        <w:rPr>
          <w:rFonts w:hint="eastAsia"/>
        </w:rPr>
      </w:pPr>
      <w:bookmarkStart w:id="62" w:name="_Toc24344"/>
      <w:r>
        <w:rPr>
          <w:rFonts w:hint="eastAsia"/>
        </w:rPr>
        <w:t>附件</w:t>
      </w:r>
      <w:r>
        <w:rPr>
          <w:rFonts w:hint="eastAsia"/>
          <w:lang w:val="en-US" w:eastAsia="zh-CN"/>
        </w:rPr>
        <w:t>4</w:t>
      </w:r>
      <w:r>
        <w:rPr>
          <w:rFonts w:hint="eastAsia"/>
        </w:rPr>
        <w:t>：供应商基本情况表</w:t>
      </w:r>
      <w:bookmarkEnd w:id="62"/>
    </w:p>
    <w:p w14:paraId="433DAB9E">
      <w:pPr>
        <w:bidi w:val="0"/>
        <w:ind w:firstLine="210" w:firstLineChars="100"/>
        <w:outlineLvl w:val="9"/>
        <w:rPr>
          <w:rFonts w:hint="eastAsia"/>
        </w:rPr>
      </w:pPr>
      <w:bookmarkStart w:id="63" w:name="_Toc26966"/>
      <w:r>
        <w:rPr>
          <w:rFonts w:hint="eastAsia"/>
        </w:rPr>
        <w:t>附件</w:t>
      </w:r>
      <w:r>
        <w:rPr>
          <w:rFonts w:hint="eastAsia"/>
          <w:lang w:val="en-US" w:eastAsia="zh-CN"/>
        </w:rPr>
        <w:t>5</w:t>
      </w:r>
      <w:r>
        <w:rPr>
          <w:rFonts w:hint="eastAsia"/>
        </w:rPr>
        <w:t>：磋商文件规定的资格条件证明资料</w:t>
      </w:r>
      <w:bookmarkEnd w:id="63"/>
    </w:p>
    <w:p w14:paraId="3D6F03AB">
      <w:pPr>
        <w:bidi w:val="0"/>
        <w:ind w:firstLine="210" w:firstLineChars="100"/>
        <w:outlineLvl w:val="9"/>
        <w:rPr>
          <w:rFonts w:hint="eastAsia"/>
        </w:rPr>
      </w:pPr>
      <w:bookmarkStart w:id="64" w:name="_Toc8764"/>
      <w:r>
        <w:rPr>
          <w:rFonts w:hint="eastAsia"/>
        </w:rPr>
        <w:t>附件</w:t>
      </w:r>
      <w:r>
        <w:rPr>
          <w:rFonts w:hint="eastAsia"/>
          <w:lang w:val="en-US" w:eastAsia="zh-CN"/>
        </w:rPr>
        <w:t>6</w:t>
      </w:r>
      <w:r>
        <w:rPr>
          <w:rFonts w:hint="eastAsia"/>
        </w:rPr>
        <w:t>：供应商的资格条件更新材料</w:t>
      </w:r>
      <w:bookmarkEnd w:id="64"/>
    </w:p>
    <w:p w14:paraId="31FDDAF7">
      <w:pPr>
        <w:bidi w:val="0"/>
        <w:outlineLvl w:val="9"/>
        <w:rPr>
          <w:rFonts w:hint="eastAsia"/>
          <w:b/>
          <w:bCs/>
          <w:lang w:eastAsia="zh-CN"/>
        </w:rPr>
      </w:pPr>
      <w:r>
        <w:rPr>
          <w:rFonts w:hint="eastAsia"/>
          <w:b/>
          <w:bCs/>
          <w:lang w:eastAsia="zh-CN"/>
        </w:rPr>
        <w:t>四</w:t>
      </w:r>
      <w:r>
        <w:rPr>
          <w:rFonts w:hint="eastAsia"/>
          <w:b/>
          <w:bCs/>
        </w:rPr>
        <w:t>、</w:t>
      </w:r>
      <w:r>
        <w:rPr>
          <w:rFonts w:hint="eastAsia"/>
          <w:b/>
          <w:bCs/>
          <w:lang w:eastAsia="zh-CN"/>
        </w:rPr>
        <w:t>施工组织设计</w:t>
      </w:r>
    </w:p>
    <w:p w14:paraId="600366E3">
      <w:pPr>
        <w:bidi w:val="0"/>
        <w:ind w:firstLine="210" w:firstLineChars="100"/>
        <w:outlineLvl w:val="9"/>
        <w:rPr>
          <w:rFonts w:hint="eastAsia"/>
        </w:rPr>
      </w:pPr>
      <w:r>
        <w:rPr>
          <w:rFonts w:hint="eastAsia"/>
        </w:rPr>
        <w:t>附件</w:t>
      </w:r>
      <w:r>
        <w:rPr>
          <w:rFonts w:hint="eastAsia"/>
          <w:lang w:val="en-US" w:eastAsia="zh-CN"/>
        </w:rPr>
        <w:t>7</w:t>
      </w:r>
      <w:r>
        <w:rPr>
          <w:rFonts w:hint="eastAsia"/>
        </w:rPr>
        <w:t>：主要人员简历表</w:t>
      </w:r>
    </w:p>
    <w:p w14:paraId="50146BA0">
      <w:pPr>
        <w:bidi w:val="0"/>
        <w:outlineLvl w:val="9"/>
        <w:rPr>
          <w:rFonts w:hint="eastAsia"/>
          <w:b/>
          <w:bCs/>
        </w:rPr>
      </w:pPr>
      <w:r>
        <w:rPr>
          <w:rFonts w:hint="eastAsia"/>
          <w:b/>
          <w:bCs/>
          <w:lang w:eastAsia="zh-CN"/>
        </w:rPr>
        <w:t>五</w:t>
      </w:r>
      <w:r>
        <w:rPr>
          <w:rFonts w:hint="eastAsia"/>
          <w:b/>
          <w:bCs/>
        </w:rPr>
        <w:t>、技术/商务响应与偏离表</w:t>
      </w:r>
    </w:p>
    <w:p w14:paraId="180BDCAF">
      <w:pPr>
        <w:bidi w:val="0"/>
        <w:outlineLvl w:val="9"/>
        <w:rPr>
          <w:rFonts w:hint="default" w:eastAsia="宋体"/>
          <w:b/>
          <w:bCs/>
          <w:lang w:val="en-US" w:eastAsia="zh-CN"/>
        </w:rPr>
      </w:pPr>
      <w:r>
        <w:rPr>
          <w:rFonts w:hint="eastAsia"/>
          <w:b/>
          <w:bCs/>
          <w:lang w:eastAsia="zh-CN"/>
        </w:rPr>
        <w:t>六</w:t>
      </w:r>
      <w:r>
        <w:rPr>
          <w:rFonts w:hint="eastAsia"/>
          <w:b/>
          <w:bCs/>
        </w:rPr>
        <w:t>、提供享受政府采购政策的证明资料和清单表</w:t>
      </w:r>
    </w:p>
    <w:p w14:paraId="7FDA792D">
      <w:pPr>
        <w:bidi w:val="0"/>
        <w:outlineLvl w:val="9"/>
        <w:rPr>
          <w:rFonts w:hint="eastAsia"/>
          <w:b/>
          <w:bCs/>
        </w:rPr>
      </w:pPr>
      <w:r>
        <w:rPr>
          <w:rFonts w:hint="eastAsia"/>
          <w:b/>
          <w:bCs/>
          <w:lang w:eastAsia="zh-CN"/>
        </w:rPr>
        <w:t>七</w:t>
      </w:r>
      <w:r>
        <w:rPr>
          <w:rFonts w:hint="eastAsia"/>
          <w:b/>
          <w:bCs/>
        </w:rPr>
        <w:t>、报价一览表及分项价格表</w:t>
      </w:r>
    </w:p>
    <w:p w14:paraId="1232ABF8">
      <w:pPr>
        <w:bidi w:val="0"/>
        <w:ind w:firstLine="210" w:firstLineChars="100"/>
        <w:outlineLvl w:val="9"/>
        <w:rPr>
          <w:rFonts w:hint="eastAsia"/>
        </w:rPr>
      </w:pPr>
      <w:r>
        <w:rPr>
          <w:rFonts w:hint="eastAsia"/>
        </w:rPr>
        <w:t>附件</w:t>
      </w:r>
      <w:r>
        <w:rPr>
          <w:rFonts w:hint="eastAsia"/>
          <w:lang w:val="en-US" w:eastAsia="zh-CN"/>
        </w:rPr>
        <w:t>9：报价文件</w:t>
      </w:r>
    </w:p>
    <w:p w14:paraId="6663A049">
      <w:pPr>
        <w:bidi w:val="0"/>
        <w:outlineLvl w:val="9"/>
        <w:rPr>
          <w:rFonts w:hint="eastAsia"/>
          <w:b/>
          <w:bCs/>
        </w:rPr>
      </w:pPr>
      <w:r>
        <w:rPr>
          <w:rFonts w:hint="eastAsia"/>
          <w:b/>
          <w:bCs/>
          <w:lang w:eastAsia="zh-CN"/>
        </w:rPr>
        <w:t>八</w:t>
      </w:r>
      <w:r>
        <w:rPr>
          <w:rFonts w:hint="eastAsia"/>
          <w:b/>
          <w:bCs/>
        </w:rPr>
        <w:t>、供应商认为需提供的其它资料</w:t>
      </w:r>
    </w:p>
    <w:p w14:paraId="6EFD2639">
      <w:pPr>
        <w:bidi w:val="0"/>
        <w:outlineLvl w:val="9"/>
        <w:rPr>
          <w:rFonts w:hint="eastAsia"/>
          <w:b/>
          <w:bCs/>
        </w:rPr>
      </w:pPr>
      <w:r>
        <w:rPr>
          <w:rFonts w:hint="eastAsia"/>
          <w:b/>
          <w:bCs/>
          <w:lang w:eastAsia="zh-CN"/>
        </w:rPr>
        <w:t>九</w:t>
      </w:r>
      <w:r>
        <w:rPr>
          <w:rFonts w:hint="eastAsia"/>
          <w:b/>
          <w:bCs/>
        </w:rPr>
        <w:t>、最后报价</w:t>
      </w:r>
    </w:p>
    <w:p w14:paraId="4B408051">
      <w:pPr>
        <w:adjustRightInd w:val="0"/>
        <w:snapToGrid w:val="0"/>
        <w:spacing w:line="360" w:lineRule="auto"/>
        <w:ind w:firstLine="420" w:firstLineChars="200"/>
        <w:outlineLvl w:val="9"/>
        <w:rPr>
          <w:rFonts w:hAnsi="宋体"/>
          <w:color w:val="auto"/>
        </w:rPr>
      </w:pPr>
      <w:r>
        <w:rPr>
          <w:rFonts w:hint="eastAsia" w:ascii="宋体" w:hAnsi="宋体"/>
          <w:color w:val="auto"/>
        </w:rPr>
        <w:t>9.2在</w:t>
      </w:r>
      <w:r>
        <w:rPr>
          <w:rFonts w:hint="eastAsia" w:ascii="宋体" w:hAnsi="宋体"/>
          <w:color w:val="auto"/>
          <w:lang w:eastAsia="zh-CN"/>
        </w:rPr>
        <w:t>磋商</w:t>
      </w:r>
      <w:r>
        <w:rPr>
          <w:rFonts w:hint="eastAsia" w:ascii="宋体" w:hAnsi="宋体"/>
          <w:color w:val="auto"/>
        </w:rPr>
        <w:t>过程中，</w:t>
      </w:r>
      <w:r>
        <w:rPr>
          <w:rFonts w:hint="eastAsia" w:ascii="宋体" w:hAnsi="宋体"/>
          <w:color w:val="auto"/>
          <w:szCs w:val="21"/>
        </w:rPr>
        <w:t>供应商</w:t>
      </w:r>
      <w:r>
        <w:rPr>
          <w:rFonts w:hint="eastAsia" w:ascii="宋体" w:hAnsi="宋体"/>
          <w:color w:val="auto"/>
        </w:rPr>
        <w:t>根据</w:t>
      </w:r>
      <w:r>
        <w:rPr>
          <w:rFonts w:hint="eastAsia" w:ascii="宋体" w:hAnsi="宋体" w:cs="宋体"/>
          <w:color w:val="auto"/>
          <w:kern w:val="0"/>
          <w:szCs w:val="21"/>
          <w:lang w:eastAsia="zh-CN"/>
        </w:rPr>
        <w:t>磋商</w:t>
      </w:r>
      <w:r>
        <w:rPr>
          <w:rFonts w:hint="eastAsia" w:ascii="宋体" w:hAnsi="宋体" w:cs="宋体"/>
          <w:color w:val="auto"/>
          <w:kern w:val="0"/>
          <w:szCs w:val="21"/>
        </w:rPr>
        <w:t>小组</w:t>
      </w:r>
      <w:r>
        <w:rPr>
          <w:rFonts w:hint="eastAsia" w:ascii="宋体" w:hAnsi="宋体"/>
          <w:bCs/>
          <w:color w:val="auto"/>
          <w:szCs w:val="21"/>
        </w:rPr>
        <w:t>书面形式要求</w:t>
      </w:r>
      <w:r>
        <w:rPr>
          <w:rFonts w:hint="eastAsia" w:ascii="宋体" w:hAnsi="宋体" w:cs="宋体"/>
          <w:color w:val="auto"/>
          <w:kern w:val="0"/>
          <w:szCs w:val="21"/>
        </w:rPr>
        <w:t>提交的</w:t>
      </w:r>
      <w:r>
        <w:rPr>
          <w:rFonts w:hint="eastAsia" w:hAnsi="宋体"/>
          <w:color w:val="auto"/>
        </w:rPr>
        <w:t>最后报价(或者</w:t>
      </w:r>
      <w:r>
        <w:rPr>
          <w:rFonts w:hint="eastAsia" w:ascii="宋体" w:hAnsi="宋体"/>
          <w:bCs/>
          <w:color w:val="auto"/>
          <w:szCs w:val="21"/>
        </w:rPr>
        <w:t>重</w:t>
      </w:r>
      <w:r>
        <w:rPr>
          <w:rFonts w:hint="eastAsia" w:ascii="宋体" w:hAnsi="宋体" w:cs="宋体"/>
          <w:color w:val="auto"/>
          <w:kern w:val="0"/>
          <w:szCs w:val="21"/>
        </w:rPr>
        <w:t>新提交的响应文件和</w:t>
      </w:r>
      <w:r>
        <w:rPr>
          <w:rFonts w:hint="eastAsia" w:hAnsi="宋体"/>
          <w:color w:val="auto"/>
        </w:rPr>
        <w:t>最后报价)是</w:t>
      </w:r>
      <w:r>
        <w:rPr>
          <w:rFonts w:hint="eastAsia" w:ascii="宋体" w:hAnsi="宋体"/>
          <w:color w:val="auto"/>
          <w:szCs w:val="21"/>
        </w:rPr>
        <w:t>响应文件</w:t>
      </w:r>
      <w:r>
        <w:rPr>
          <w:rFonts w:hint="eastAsia" w:hAnsi="宋体"/>
          <w:color w:val="auto"/>
        </w:rPr>
        <w:t>的有效组成部分。</w:t>
      </w:r>
    </w:p>
    <w:p w14:paraId="4D3F8A22">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rPr>
        <w:t>9.3</w:t>
      </w:r>
      <w:r>
        <w:rPr>
          <w:rFonts w:hint="eastAsia" w:ascii="宋体" w:hAnsi="宋体"/>
          <w:color w:val="auto"/>
          <w:szCs w:val="21"/>
        </w:rPr>
        <w:t>根据《政府采购法》第四十二条的规定，供应商无论成交与否，其响应文件不予退还。</w:t>
      </w:r>
    </w:p>
    <w:p w14:paraId="607D1AA6">
      <w:pPr>
        <w:spacing w:line="360" w:lineRule="auto"/>
        <w:outlineLvl w:val="9"/>
        <w:rPr>
          <w:rFonts w:hint="eastAsia" w:ascii="宋体" w:hAnsi="宋体" w:eastAsia="宋体" w:cs="宋体"/>
          <w:b/>
          <w:bCs/>
          <w:color w:val="auto"/>
          <w:sz w:val="22"/>
          <w:szCs w:val="22"/>
        </w:rPr>
      </w:pPr>
      <w:bookmarkStart w:id="65" w:name="_Toc107997975"/>
      <w:bookmarkStart w:id="66" w:name="_Toc107997848"/>
      <w:r>
        <w:rPr>
          <w:rFonts w:hint="eastAsia" w:ascii="宋体" w:hAnsi="宋体" w:eastAsia="宋体" w:cs="宋体"/>
          <w:b/>
          <w:bCs/>
          <w:color w:val="auto"/>
          <w:sz w:val="22"/>
          <w:szCs w:val="22"/>
          <w:lang w:val="en-US" w:eastAsia="zh-CN"/>
        </w:rPr>
        <w:t>10</w:t>
      </w:r>
      <w:r>
        <w:rPr>
          <w:rFonts w:hint="eastAsia" w:ascii="宋体" w:hAnsi="宋体" w:eastAsia="宋体" w:cs="宋体"/>
          <w:b/>
          <w:bCs/>
          <w:color w:val="auto"/>
          <w:sz w:val="22"/>
          <w:szCs w:val="22"/>
        </w:rPr>
        <w:t>.报价要求</w:t>
      </w:r>
      <w:bookmarkEnd w:id="65"/>
      <w:bookmarkEnd w:id="66"/>
    </w:p>
    <w:p w14:paraId="43A183F1">
      <w:pPr>
        <w:adjustRightInd w:val="0"/>
        <w:snapToGrid w:val="0"/>
        <w:spacing w:line="360" w:lineRule="auto"/>
        <w:ind w:firstLine="420" w:firstLineChars="200"/>
        <w:outlineLvl w:val="9"/>
        <w:rPr>
          <w:rFonts w:ascii="宋体" w:hAnsi="宋体" w:eastAsia="宋体"/>
          <w:color w:val="auto"/>
          <w:szCs w:val="21"/>
        </w:rPr>
      </w:pPr>
      <w:r>
        <w:rPr>
          <w:rFonts w:hint="eastAsia" w:ascii="宋体" w:hAnsi="宋体"/>
          <w:color w:val="auto"/>
          <w:szCs w:val="21"/>
        </w:rPr>
        <w:t>1</w:t>
      </w:r>
      <w:r>
        <w:rPr>
          <w:rFonts w:hint="eastAsia" w:ascii="宋体" w:hAnsi="宋体"/>
          <w:color w:val="auto"/>
          <w:szCs w:val="21"/>
          <w:lang w:val="en-US" w:eastAsia="zh-CN"/>
        </w:rPr>
        <w:t>0</w:t>
      </w:r>
      <w:r>
        <w:rPr>
          <w:rFonts w:hint="eastAsia" w:ascii="宋体" w:hAnsi="宋体"/>
          <w:color w:val="auto"/>
          <w:szCs w:val="21"/>
        </w:rPr>
        <w:t>.1</w:t>
      </w:r>
      <w:r>
        <w:rPr>
          <w:rFonts w:hint="eastAsia" w:ascii="宋体" w:hAnsi="宋体" w:eastAsia="宋体"/>
          <w:color w:val="auto"/>
          <w:szCs w:val="21"/>
        </w:rPr>
        <w:t>供应商应当根据</w:t>
      </w:r>
      <w:r>
        <w:rPr>
          <w:rFonts w:hint="eastAsia" w:ascii="宋体" w:hAnsi="宋体"/>
          <w:color w:val="auto"/>
          <w:szCs w:val="21"/>
          <w:lang w:eastAsia="zh-CN"/>
        </w:rPr>
        <w:t>磋商</w:t>
      </w:r>
      <w:r>
        <w:rPr>
          <w:rFonts w:hint="eastAsia" w:ascii="宋体" w:hAnsi="宋体" w:eastAsia="宋体"/>
          <w:color w:val="auto"/>
          <w:szCs w:val="21"/>
        </w:rPr>
        <w:t>文件第三章第一节“采购清单一览表”逐一报价；</w:t>
      </w:r>
      <w:r>
        <w:rPr>
          <w:rFonts w:hint="eastAsia" w:ascii="宋体" w:hAnsi="宋体"/>
          <w:color w:val="auto"/>
          <w:szCs w:val="21"/>
          <w:lang w:eastAsia="zh-CN"/>
        </w:rPr>
        <w:t>磋商</w:t>
      </w:r>
      <w:r>
        <w:rPr>
          <w:rFonts w:hint="eastAsia" w:ascii="宋体" w:hAnsi="宋体" w:eastAsia="宋体"/>
          <w:color w:val="auto"/>
          <w:szCs w:val="21"/>
        </w:rPr>
        <w:t>文件第三章提供第二节“工程量清单”的，供应商应按其要求填写相应表格。</w:t>
      </w:r>
    </w:p>
    <w:p w14:paraId="4B45FDE8">
      <w:pPr>
        <w:adjustRightInd w:val="0"/>
        <w:snapToGrid w:val="0"/>
        <w:spacing w:line="360" w:lineRule="auto"/>
        <w:ind w:firstLine="420" w:firstLineChars="200"/>
        <w:outlineLvl w:val="9"/>
        <w:rPr>
          <w:rFonts w:ascii="宋体" w:hAnsi="宋体"/>
          <w:color w:val="auto"/>
          <w:szCs w:val="21"/>
        </w:rPr>
      </w:pPr>
      <w:r>
        <w:rPr>
          <w:rFonts w:hint="eastAsia" w:ascii="宋体" w:hAnsi="宋体" w:eastAsia="宋体"/>
          <w:color w:val="auto"/>
          <w:szCs w:val="21"/>
        </w:rPr>
        <w:t>1</w:t>
      </w:r>
      <w:r>
        <w:rPr>
          <w:rFonts w:hint="eastAsia" w:ascii="宋体" w:hAnsi="宋体"/>
          <w:color w:val="auto"/>
          <w:szCs w:val="21"/>
          <w:lang w:val="en-US" w:eastAsia="zh-CN"/>
        </w:rPr>
        <w:t>0</w:t>
      </w:r>
      <w:r>
        <w:rPr>
          <w:rFonts w:hint="eastAsia" w:ascii="宋体" w:hAnsi="宋体" w:eastAsia="宋体"/>
          <w:color w:val="auto"/>
          <w:szCs w:val="21"/>
        </w:rPr>
        <w:t>.2</w:t>
      </w:r>
      <w:r>
        <w:rPr>
          <w:rFonts w:hint="eastAsia" w:ascii="宋体" w:hAnsi="宋体"/>
          <w:color w:val="auto"/>
          <w:szCs w:val="21"/>
        </w:rPr>
        <w:t>在报价表、分项报价表填写报价时应注意下列要求：</w:t>
      </w:r>
    </w:p>
    <w:p w14:paraId="6D936364">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（1）采购需求要求的安装、调试、培训、售后服务及其他附加服务的费用。</w:t>
      </w:r>
    </w:p>
    <w:p w14:paraId="14CECC94">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（2）所有根据合同或其他原因应由供应商交纳和支付的税款和费用。</w:t>
      </w:r>
    </w:p>
    <w:p w14:paraId="5D66125C">
      <w:pPr>
        <w:adjustRightInd w:val="0"/>
        <w:snapToGrid w:val="0"/>
        <w:spacing w:line="360" w:lineRule="auto"/>
        <w:ind w:firstLine="420" w:firstLineChars="200"/>
        <w:outlineLvl w:val="9"/>
        <w:rPr>
          <w:rFonts w:ascii="宋体" w:hAnsi="宋体"/>
          <w:color w:val="auto"/>
        </w:rPr>
      </w:pPr>
      <w:r>
        <w:rPr>
          <w:rFonts w:hint="eastAsia" w:ascii="宋体" w:hAnsi="宋体"/>
          <w:color w:val="auto"/>
        </w:rPr>
        <w:t>（3）</w:t>
      </w:r>
      <w:r>
        <w:rPr>
          <w:rFonts w:hint="eastAsia" w:ascii="宋体" w:hAnsi="宋体"/>
          <w:color w:val="auto"/>
          <w:lang w:eastAsia="zh-CN"/>
        </w:rPr>
        <w:t>磋商</w:t>
      </w:r>
      <w:r>
        <w:rPr>
          <w:rFonts w:hint="eastAsia" w:ascii="宋体" w:hAnsi="宋体"/>
          <w:color w:val="auto"/>
        </w:rPr>
        <w:t>文件指定交货地点的运输、保险、装卸费。</w:t>
      </w:r>
    </w:p>
    <w:p w14:paraId="29DE65D4">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rPr>
        <w:t>（4）实行工程量清单报价的，供应商提交最后报价应与已标价工程量清单总报价一致。</w:t>
      </w:r>
    </w:p>
    <w:p w14:paraId="65841FF9">
      <w:pPr>
        <w:adjustRightInd w:val="0"/>
        <w:snapToGrid w:val="0"/>
        <w:spacing w:line="360" w:lineRule="auto"/>
        <w:ind w:firstLine="420" w:firstLineChars="200"/>
        <w:outlineLvl w:val="9"/>
        <w:rPr>
          <w:rFonts w:ascii="宋体" w:hAnsi="宋体"/>
          <w:color w:val="auto"/>
          <w:kern w:val="0"/>
          <w:szCs w:val="21"/>
        </w:rPr>
      </w:pPr>
      <w:r>
        <w:rPr>
          <w:rFonts w:hint="eastAsia" w:ascii="宋体" w:hAnsi="宋体"/>
          <w:color w:val="auto"/>
          <w:kern w:val="0"/>
          <w:szCs w:val="21"/>
        </w:rPr>
        <w:t>1</w:t>
      </w:r>
      <w:r>
        <w:rPr>
          <w:rFonts w:hint="eastAsia" w:ascii="宋体" w:hAnsi="宋体"/>
          <w:color w:val="auto"/>
          <w:kern w:val="0"/>
          <w:szCs w:val="21"/>
          <w:lang w:val="en-US" w:eastAsia="zh-CN"/>
        </w:rPr>
        <w:t>0</w:t>
      </w:r>
      <w:r>
        <w:rPr>
          <w:rFonts w:hint="eastAsia" w:ascii="宋体" w:hAnsi="宋体"/>
          <w:color w:val="auto"/>
          <w:kern w:val="0"/>
          <w:szCs w:val="21"/>
        </w:rPr>
        <w:t>.3</w:t>
      </w:r>
      <w:r>
        <w:rPr>
          <w:rFonts w:hint="eastAsia" w:ascii="宋体" w:hAnsi="宋体" w:cs="宋体"/>
          <w:color w:val="auto"/>
          <w:kern w:val="0"/>
          <w:szCs w:val="21"/>
          <w:lang w:val="zh-CN"/>
        </w:rPr>
        <w:t>供应商</w:t>
      </w:r>
      <w:r>
        <w:rPr>
          <w:rFonts w:hint="eastAsia" w:ascii="宋体" w:hAnsi="宋体"/>
          <w:color w:val="auto"/>
          <w:kern w:val="0"/>
          <w:szCs w:val="21"/>
        </w:rPr>
        <w:t>的最后报价不得超过采购项目预算，</w:t>
      </w:r>
      <w:r>
        <w:rPr>
          <w:rFonts w:hint="eastAsia" w:ascii="宋体" w:hAnsi="宋体"/>
          <w:b/>
          <w:bCs/>
          <w:color w:val="auto"/>
          <w:kern w:val="0"/>
          <w:szCs w:val="21"/>
        </w:rPr>
        <w:t>否则，其响应无效</w:t>
      </w:r>
      <w:r>
        <w:rPr>
          <w:rFonts w:hint="eastAsia" w:ascii="宋体" w:hAnsi="宋体"/>
          <w:color w:val="auto"/>
          <w:kern w:val="0"/>
          <w:szCs w:val="21"/>
        </w:rPr>
        <w:t>。采购项目预算见</w:t>
      </w:r>
      <w:r>
        <w:rPr>
          <w:rFonts w:hint="eastAsia" w:ascii="宋体" w:hAnsi="宋体"/>
          <w:b/>
          <w:color w:val="auto"/>
          <w:kern w:val="0"/>
          <w:szCs w:val="21"/>
        </w:rPr>
        <w:t>【</w:t>
      </w:r>
      <w:r>
        <w:rPr>
          <w:rFonts w:hint="eastAsia" w:ascii="宋体" w:hAnsi="宋体"/>
          <w:b/>
          <w:color w:val="auto"/>
          <w:kern w:val="0"/>
          <w:szCs w:val="21"/>
          <w:lang w:eastAsia="zh-CN"/>
        </w:rPr>
        <w:t>磋商</w:t>
      </w:r>
      <w:r>
        <w:rPr>
          <w:rFonts w:hint="eastAsia" w:ascii="宋体" w:hAnsi="宋体"/>
          <w:b/>
          <w:color w:val="auto"/>
          <w:kern w:val="0"/>
          <w:szCs w:val="21"/>
        </w:rPr>
        <w:t>须知前附表】</w:t>
      </w:r>
      <w:r>
        <w:rPr>
          <w:rFonts w:hint="eastAsia" w:ascii="宋体" w:hAnsi="宋体"/>
          <w:color w:val="auto"/>
          <w:kern w:val="0"/>
          <w:szCs w:val="21"/>
        </w:rPr>
        <w:t>。</w:t>
      </w:r>
    </w:p>
    <w:p w14:paraId="620A31DB">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1</w:t>
      </w:r>
      <w:r>
        <w:rPr>
          <w:rFonts w:hint="eastAsia" w:ascii="宋体" w:hAnsi="宋体" w:cs="Courier New"/>
          <w:color w:val="auto"/>
          <w:szCs w:val="21"/>
          <w:lang w:val="en-US" w:eastAsia="zh-CN"/>
        </w:rPr>
        <w:t>0</w:t>
      </w:r>
      <w:r>
        <w:rPr>
          <w:rFonts w:hint="eastAsia" w:ascii="宋体" w:hAnsi="宋体" w:cs="Courier New"/>
          <w:color w:val="auto"/>
          <w:szCs w:val="21"/>
        </w:rPr>
        <w:t>.4</w:t>
      </w:r>
      <w:r>
        <w:rPr>
          <w:rFonts w:hint="eastAsia" w:ascii="宋体" w:hAnsi="宋体"/>
          <w:color w:val="auto"/>
          <w:szCs w:val="21"/>
        </w:rPr>
        <w:t>采用固定价格定价方式的采购项目，</w:t>
      </w:r>
      <w:r>
        <w:rPr>
          <w:rFonts w:hint="eastAsia" w:ascii="宋体" w:hAnsi="宋体" w:cs="Courier New"/>
          <w:color w:val="auto"/>
          <w:szCs w:val="21"/>
        </w:rPr>
        <w:t>供应商提交的最后报价在合同执行过程中是固定不变的，不得以任何理由予以变更。以可变动价格提交的报价将被认为是非实质响应而被拒绝。</w:t>
      </w:r>
    </w:p>
    <w:p w14:paraId="2A3DC37B">
      <w:pPr>
        <w:adjustRightInd w:val="0"/>
        <w:snapToGrid w:val="0"/>
        <w:spacing w:line="360" w:lineRule="auto"/>
        <w:ind w:firstLine="420" w:firstLineChars="200"/>
        <w:jc w:val="left"/>
        <w:outlineLvl w:val="9"/>
        <w:rPr>
          <w:rFonts w:ascii="宋体" w:hAnsi="宋体"/>
          <w:color w:val="auto"/>
        </w:rPr>
      </w:pPr>
      <w:r>
        <w:rPr>
          <w:rFonts w:hint="eastAsia" w:ascii="宋体" w:hAnsi="宋体"/>
          <w:color w:val="auto"/>
        </w:rPr>
        <w:t>1</w:t>
      </w:r>
      <w:r>
        <w:rPr>
          <w:rFonts w:hint="eastAsia" w:ascii="宋体" w:hAnsi="宋体"/>
          <w:color w:val="auto"/>
          <w:lang w:val="en-US" w:eastAsia="zh-CN"/>
        </w:rPr>
        <w:t>0</w:t>
      </w:r>
      <w:r>
        <w:rPr>
          <w:rFonts w:hint="eastAsia" w:ascii="宋体" w:hAnsi="宋体"/>
          <w:color w:val="auto"/>
        </w:rPr>
        <w:t>.5采购人不接受供应商给予的赠品、回扣或者与采购无关的其他商品、服务。</w:t>
      </w:r>
    </w:p>
    <w:p w14:paraId="45A9F655">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1</w:t>
      </w:r>
      <w:r>
        <w:rPr>
          <w:rFonts w:hint="eastAsia" w:ascii="宋体" w:hAnsi="宋体" w:cs="Courier New"/>
          <w:color w:val="auto"/>
          <w:szCs w:val="21"/>
          <w:lang w:val="en-US" w:eastAsia="zh-CN"/>
        </w:rPr>
        <w:t>0</w:t>
      </w:r>
      <w:r>
        <w:rPr>
          <w:rFonts w:hint="eastAsia" w:ascii="宋体" w:hAnsi="宋体" w:cs="Courier New"/>
          <w:color w:val="auto"/>
          <w:szCs w:val="21"/>
        </w:rPr>
        <w:t>.6报价的其他要求见</w:t>
      </w:r>
      <w:r>
        <w:rPr>
          <w:rFonts w:hint="eastAsia" w:ascii="宋体" w:hAnsi="宋体" w:cs="Courier New"/>
          <w:b/>
          <w:color w:val="auto"/>
          <w:szCs w:val="21"/>
        </w:rPr>
        <w:t>【</w:t>
      </w:r>
      <w:r>
        <w:rPr>
          <w:rFonts w:hint="eastAsia" w:ascii="宋体" w:hAnsi="宋体" w:cs="Courier New"/>
          <w:b/>
          <w:color w:val="auto"/>
          <w:szCs w:val="21"/>
          <w:lang w:eastAsia="zh-CN"/>
        </w:rPr>
        <w:t>磋商</w:t>
      </w:r>
      <w:r>
        <w:rPr>
          <w:rFonts w:hint="eastAsia" w:ascii="宋体" w:hAnsi="宋体" w:cs="Courier New"/>
          <w:b/>
          <w:color w:val="auto"/>
          <w:szCs w:val="21"/>
        </w:rPr>
        <w:t>须知前附表】</w:t>
      </w:r>
      <w:r>
        <w:rPr>
          <w:rFonts w:hint="eastAsia" w:ascii="宋体" w:hAnsi="宋体" w:cs="Courier New"/>
          <w:color w:val="auto"/>
          <w:szCs w:val="21"/>
        </w:rPr>
        <w:t>。</w:t>
      </w:r>
    </w:p>
    <w:p w14:paraId="1B510C7F">
      <w:pPr>
        <w:spacing w:line="360" w:lineRule="auto"/>
        <w:outlineLvl w:val="9"/>
        <w:rPr>
          <w:rFonts w:hint="eastAsia" w:ascii="宋体" w:hAnsi="宋体" w:eastAsia="宋体" w:cs="宋体"/>
          <w:b/>
          <w:bCs/>
          <w:color w:val="auto"/>
          <w:sz w:val="22"/>
          <w:szCs w:val="22"/>
          <w:lang w:val="en-US" w:eastAsia="zh-CN"/>
        </w:rPr>
      </w:pPr>
      <w:bookmarkStart w:id="67" w:name="_Toc107997976"/>
      <w:bookmarkStart w:id="68" w:name="_Toc107997849"/>
      <w:r>
        <w:rPr>
          <w:rFonts w:hint="eastAsia" w:ascii="宋体" w:hAnsi="宋体" w:eastAsia="宋体" w:cs="宋体"/>
          <w:b/>
          <w:bCs/>
          <w:color w:val="auto"/>
          <w:sz w:val="22"/>
          <w:szCs w:val="22"/>
          <w:lang w:val="en-US" w:eastAsia="zh-CN"/>
        </w:rPr>
        <w:t>11.磋商保证金</w:t>
      </w:r>
      <w:bookmarkEnd w:id="67"/>
      <w:bookmarkEnd w:id="68"/>
    </w:p>
    <w:p w14:paraId="62A035BF">
      <w:pPr>
        <w:autoSpaceDE w:val="0"/>
        <w:autoSpaceDN w:val="0"/>
        <w:adjustRightInd w:val="0"/>
        <w:spacing w:line="360" w:lineRule="auto"/>
        <w:ind w:firstLine="420" w:firstLineChars="200"/>
        <w:jc w:val="left"/>
        <w:outlineLvl w:val="9"/>
        <w:rPr>
          <w:rFonts w:hAnsi="宋体"/>
          <w:bCs/>
          <w:color w:val="auto"/>
        </w:rPr>
      </w:pPr>
      <w:r>
        <w:rPr>
          <w:rFonts w:hint="eastAsia" w:hAnsi="宋体"/>
          <w:color w:val="auto"/>
        </w:rPr>
        <w:t>1</w:t>
      </w:r>
      <w:r>
        <w:rPr>
          <w:rFonts w:hint="eastAsia" w:hAnsi="宋体"/>
          <w:color w:val="auto"/>
          <w:lang w:val="en-US" w:eastAsia="zh-CN"/>
        </w:rPr>
        <w:t>1</w:t>
      </w:r>
      <w:r>
        <w:rPr>
          <w:rFonts w:hint="eastAsia" w:hAnsi="宋体"/>
          <w:color w:val="auto"/>
        </w:rPr>
        <w:t>.1</w:t>
      </w:r>
      <w:r>
        <w:rPr>
          <w:rFonts w:hint="eastAsia" w:hAnsi="宋体"/>
          <w:bCs/>
          <w:color w:val="auto"/>
          <w:lang w:eastAsia="zh-CN"/>
        </w:rPr>
        <w:t>磋商</w:t>
      </w:r>
      <w:r>
        <w:rPr>
          <w:rFonts w:hint="eastAsia" w:hAnsi="宋体"/>
          <w:bCs/>
          <w:color w:val="auto"/>
        </w:rPr>
        <w:t>文件要求供应商提交保证金的，供应商应按</w:t>
      </w:r>
      <w:r>
        <w:rPr>
          <w:rFonts w:hint="eastAsia" w:hAnsi="宋体"/>
          <w:b/>
          <w:bCs/>
          <w:color w:val="auto"/>
        </w:rPr>
        <w:t>【</w:t>
      </w:r>
      <w:r>
        <w:rPr>
          <w:rFonts w:hint="eastAsia" w:hAnsi="宋体"/>
          <w:b/>
          <w:bCs/>
          <w:color w:val="auto"/>
          <w:lang w:eastAsia="zh-CN"/>
        </w:rPr>
        <w:t>磋商</w:t>
      </w:r>
      <w:r>
        <w:rPr>
          <w:rFonts w:hint="eastAsia" w:hAnsi="宋体"/>
          <w:b/>
          <w:bCs/>
          <w:color w:val="auto"/>
        </w:rPr>
        <w:t>须知前附表】</w:t>
      </w:r>
      <w:r>
        <w:rPr>
          <w:rFonts w:hint="eastAsia" w:hAnsi="宋体"/>
          <w:bCs/>
          <w:color w:val="auto"/>
        </w:rPr>
        <w:t>规定，在提交首次响应文件的截止时间前提交</w:t>
      </w:r>
      <w:r>
        <w:rPr>
          <w:rFonts w:hint="eastAsia" w:hAnsi="宋体"/>
          <w:bCs/>
          <w:color w:val="auto"/>
          <w:lang w:eastAsia="zh-CN"/>
        </w:rPr>
        <w:t>磋商</w:t>
      </w:r>
      <w:r>
        <w:rPr>
          <w:rFonts w:hint="eastAsia" w:hAnsi="宋体"/>
          <w:bCs/>
          <w:color w:val="auto"/>
        </w:rPr>
        <w:t>保证金。</w:t>
      </w:r>
      <w:r>
        <w:rPr>
          <w:rFonts w:hint="eastAsia" w:hAnsi="宋体"/>
          <w:bCs/>
          <w:color w:val="auto"/>
          <w:lang w:eastAsia="zh-CN"/>
        </w:rPr>
        <w:t>磋商</w:t>
      </w:r>
      <w:r>
        <w:rPr>
          <w:rFonts w:hint="eastAsia" w:hAnsi="宋体"/>
          <w:bCs/>
          <w:color w:val="auto"/>
        </w:rPr>
        <w:t>保证金有效期应当与响应文件有效期一致。供应商可用保函、电子增信替代</w:t>
      </w:r>
      <w:r>
        <w:rPr>
          <w:rFonts w:hint="eastAsia" w:hAnsi="宋体"/>
          <w:bCs/>
          <w:color w:val="auto"/>
          <w:lang w:eastAsia="zh-CN"/>
        </w:rPr>
        <w:t>磋商</w:t>
      </w:r>
      <w:r>
        <w:rPr>
          <w:rFonts w:hint="eastAsia" w:hAnsi="宋体"/>
          <w:bCs/>
          <w:color w:val="auto"/>
        </w:rPr>
        <w:t>保证金。</w:t>
      </w:r>
    </w:p>
    <w:p w14:paraId="6876535A">
      <w:pPr>
        <w:adjustRightInd w:val="0"/>
        <w:snapToGrid w:val="0"/>
        <w:spacing w:line="360" w:lineRule="auto"/>
        <w:ind w:firstLine="420" w:firstLineChars="200"/>
        <w:outlineLvl w:val="9"/>
        <w:rPr>
          <w:rFonts w:ascii="宋体" w:hAnsi="宋体"/>
          <w:b/>
          <w:color w:val="auto"/>
          <w:szCs w:val="21"/>
        </w:rPr>
      </w:pPr>
      <w:r>
        <w:rPr>
          <w:rFonts w:hint="eastAsia" w:ascii="宋体" w:hAnsi="宋体"/>
          <w:color w:val="auto"/>
          <w:szCs w:val="21"/>
        </w:rPr>
        <w:t>1</w:t>
      </w:r>
      <w:r>
        <w:rPr>
          <w:rFonts w:hint="eastAsia" w:ascii="宋体" w:hAnsi="宋体"/>
          <w:color w:val="auto"/>
          <w:szCs w:val="21"/>
          <w:lang w:val="en-US" w:eastAsia="zh-CN"/>
        </w:rPr>
        <w:t>1</w:t>
      </w:r>
      <w:r>
        <w:rPr>
          <w:rFonts w:hint="eastAsia" w:ascii="宋体" w:hAnsi="宋体"/>
          <w:color w:val="auto"/>
          <w:szCs w:val="21"/>
        </w:rPr>
        <w:t>.2</w:t>
      </w:r>
      <w:r>
        <w:rPr>
          <w:rFonts w:hint="eastAsia" w:ascii="宋体" w:hAnsi="宋体" w:cs="宋体"/>
          <w:color w:val="auto"/>
          <w:kern w:val="0"/>
          <w:szCs w:val="21"/>
          <w:lang w:val="zh-CN"/>
        </w:rPr>
        <w:t>供应商为联合体的，可以由联合体中的一方或者共同交纳</w:t>
      </w:r>
      <w:r>
        <w:rPr>
          <w:rFonts w:hint="eastAsia" w:hAnsi="宋体"/>
          <w:bCs/>
          <w:color w:val="auto"/>
          <w:lang w:eastAsia="zh-CN"/>
        </w:rPr>
        <w:t>磋商</w:t>
      </w:r>
      <w:r>
        <w:rPr>
          <w:rFonts w:hint="eastAsia" w:ascii="宋体" w:hAnsi="宋体" w:cs="宋体"/>
          <w:color w:val="auto"/>
          <w:kern w:val="0"/>
          <w:szCs w:val="21"/>
          <w:lang w:val="zh-CN"/>
        </w:rPr>
        <w:t>保证金，其交纳的</w:t>
      </w:r>
      <w:r>
        <w:rPr>
          <w:rFonts w:hint="eastAsia" w:hAnsi="宋体"/>
          <w:bCs/>
          <w:color w:val="auto"/>
          <w:lang w:eastAsia="zh-CN"/>
        </w:rPr>
        <w:t>磋商</w:t>
      </w:r>
      <w:r>
        <w:rPr>
          <w:rFonts w:hint="eastAsia" w:ascii="宋体" w:hAnsi="宋体" w:cs="宋体"/>
          <w:color w:val="auto"/>
          <w:kern w:val="0"/>
          <w:szCs w:val="21"/>
          <w:lang w:val="zh-CN"/>
        </w:rPr>
        <w:t>保证金，对联合体各方均具有约束力。</w:t>
      </w:r>
    </w:p>
    <w:p w14:paraId="7EAA5214">
      <w:pPr>
        <w:tabs>
          <w:tab w:val="left" w:pos="6300"/>
        </w:tabs>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1</w:t>
      </w:r>
      <w:r>
        <w:rPr>
          <w:rFonts w:hint="eastAsia" w:ascii="宋体" w:hAnsi="宋体" w:cs="Courier New"/>
          <w:color w:val="auto"/>
          <w:szCs w:val="21"/>
          <w:lang w:val="en-US" w:eastAsia="zh-CN"/>
        </w:rPr>
        <w:t>1</w:t>
      </w:r>
      <w:r>
        <w:rPr>
          <w:rFonts w:hint="eastAsia" w:ascii="宋体" w:hAnsi="宋体" w:cs="Courier New"/>
          <w:color w:val="auto"/>
          <w:szCs w:val="21"/>
        </w:rPr>
        <w:t>.3采购人、采购代理机构在成交通知书发出后5个工作日内退还未成交供应商的</w:t>
      </w:r>
      <w:r>
        <w:rPr>
          <w:rFonts w:hint="eastAsia" w:ascii="宋体" w:hAnsi="宋体" w:cs="Courier New"/>
          <w:bCs/>
          <w:color w:val="auto"/>
          <w:szCs w:val="21"/>
          <w:lang w:eastAsia="zh-CN"/>
        </w:rPr>
        <w:t>磋商</w:t>
      </w:r>
      <w:r>
        <w:rPr>
          <w:rFonts w:hint="eastAsia" w:ascii="宋体" w:hAnsi="宋体" w:cs="Courier New"/>
          <w:color w:val="auto"/>
          <w:szCs w:val="21"/>
        </w:rPr>
        <w:t>保证金；在采购合同签订后5个工作日内退还成交供应商的</w:t>
      </w:r>
      <w:r>
        <w:rPr>
          <w:rFonts w:hint="eastAsia" w:ascii="宋体" w:hAnsi="宋体" w:cs="Courier New"/>
          <w:bCs/>
          <w:color w:val="auto"/>
          <w:szCs w:val="21"/>
          <w:lang w:eastAsia="zh-CN"/>
        </w:rPr>
        <w:t>磋商</w:t>
      </w:r>
      <w:r>
        <w:rPr>
          <w:rFonts w:hint="eastAsia" w:ascii="宋体" w:hAnsi="宋体" w:cs="Courier New"/>
          <w:color w:val="auto"/>
          <w:szCs w:val="21"/>
        </w:rPr>
        <w:t>保证金，但因供应商自身原因导致无法及时退还的除外。</w:t>
      </w:r>
    </w:p>
    <w:p w14:paraId="48FC5304">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1</w:t>
      </w:r>
      <w:r>
        <w:rPr>
          <w:rFonts w:hint="eastAsia" w:ascii="宋体" w:hAnsi="宋体"/>
          <w:color w:val="auto"/>
          <w:szCs w:val="21"/>
          <w:lang w:val="en-US" w:eastAsia="zh-CN"/>
        </w:rPr>
        <w:t>1</w:t>
      </w:r>
      <w:r>
        <w:rPr>
          <w:rFonts w:hint="eastAsia" w:ascii="宋体" w:hAnsi="宋体"/>
          <w:color w:val="auto"/>
          <w:szCs w:val="21"/>
        </w:rPr>
        <w:t>.4</w:t>
      </w:r>
      <w:r>
        <w:rPr>
          <w:rFonts w:hint="eastAsia" w:hAnsi="宋体"/>
          <w:bCs/>
          <w:color w:val="auto"/>
          <w:lang w:eastAsia="zh-CN"/>
        </w:rPr>
        <w:t>磋商</w:t>
      </w:r>
      <w:r>
        <w:rPr>
          <w:rFonts w:hint="eastAsia" w:ascii="宋体" w:hAnsi="宋体"/>
          <w:color w:val="auto"/>
          <w:szCs w:val="21"/>
        </w:rPr>
        <w:t>保证金的退还按以下规定办理：</w:t>
      </w:r>
    </w:p>
    <w:p w14:paraId="5FE428C6">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（1）成交供应商的</w:t>
      </w:r>
      <w:r>
        <w:rPr>
          <w:rFonts w:hint="eastAsia" w:hAnsi="宋体"/>
          <w:bCs/>
          <w:color w:val="auto"/>
          <w:lang w:eastAsia="zh-CN"/>
        </w:rPr>
        <w:t>磋商</w:t>
      </w:r>
      <w:r>
        <w:rPr>
          <w:rFonts w:hint="eastAsia" w:ascii="宋体" w:hAnsi="宋体"/>
          <w:color w:val="auto"/>
          <w:szCs w:val="21"/>
        </w:rPr>
        <w:t>保证金，在政府采购合同签订后5个工作日内退还。</w:t>
      </w:r>
    </w:p>
    <w:p w14:paraId="364E608F">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（2）未成交供应商的</w:t>
      </w:r>
      <w:r>
        <w:rPr>
          <w:rFonts w:hint="eastAsia" w:hAnsi="宋体"/>
          <w:bCs/>
          <w:color w:val="auto"/>
          <w:lang w:eastAsia="zh-CN"/>
        </w:rPr>
        <w:t>磋商</w:t>
      </w:r>
      <w:r>
        <w:rPr>
          <w:rFonts w:hint="eastAsia" w:ascii="宋体" w:hAnsi="宋体"/>
          <w:color w:val="auto"/>
          <w:szCs w:val="21"/>
        </w:rPr>
        <w:t>保证金，在成交通知书发出后5个工作日内退还。</w:t>
      </w:r>
    </w:p>
    <w:p w14:paraId="6F9DB46D">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（3）终止竞争性</w:t>
      </w:r>
      <w:r>
        <w:rPr>
          <w:rFonts w:hint="eastAsia" w:ascii="宋体" w:hAnsi="宋体"/>
          <w:color w:val="auto"/>
          <w:szCs w:val="21"/>
          <w:lang w:eastAsia="zh-CN"/>
        </w:rPr>
        <w:t>磋商</w:t>
      </w:r>
      <w:r>
        <w:rPr>
          <w:rFonts w:hint="eastAsia" w:ascii="宋体" w:hAnsi="宋体"/>
          <w:color w:val="auto"/>
          <w:szCs w:val="21"/>
        </w:rPr>
        <w:t>采购活动的，在发布项目终止公告后5个工作日内退还。</w:t>
      </w:r>
    </w:p>
    <w:p w14:paraId="72D91B0E">
      <w:pPr>
        <w:adjustRightInd w:val="0"/>
        <w:snapToGrid w:val="0"/>
        <w:spacing w:line="360" w:lineRule="auto"/>
        <w:ind w:firstLine="420" w:firstLineChars="200"/>
        <w:outlineLvl w:val="9"/>
        <w:rPr>
          <w:rFonts w:ascii="宋体" w:hAnsi="Courier New" w:cs="Courier New"/>
          <w:color w:val="auto"/>
          <w:kern w:val="0"/>
          <w:szCs w:val="21"/>
        </w:rPr>
      </w:pPr>
      <w:r>
        <w:rPr>
          <w:rFonts w:hint="eastAsia" w:ascii="宋体" w:hAnsi="Courier New" w:cs="Courier New"/>
          <w:color w:val="auto"/>
          <w:szCs w:val="21"/>
        </w:rPr>
        <w:t>1</w:t>
      </w:r>
      <w:r>
        <w:rPr>
          <w:rFonts w:hint="eastAsia" w:ascii="宋体" w:hAnsi="Courier New" w:cs="Courier New"/>
          <w:color w:val="auto"/>
          <w:szCs w:val="21"/>
          <w:lang w:val="en-US" w:eastAsia="zh-CN"/>
        </w:rPr>
        <w:t>1</w:t>
      </w:r>
      <w:r>
        <w:rPr>
          <w:rFonts w:hint="eastAsia" w:ascii="宋体" w:hAnsi="Courier New" w:cs="Courier New"/>
          <w:color w:val="auto"/>
          <w:szCs w:val="21"/>
        </w:rPr>
        <w:t>.5</w:t>
      </w:r>
      <w:r>
        <w:rPr>
          <w:rFonts w:hint="eastAsia" w:ascii="宋体" w:hAnsi="Courier New" w:cs="Courier New"/>
          <w:color w:val="auto"/>
          <w:kern w:val="0"/>
          <w:szCs w:val="21"/>
        </w:rPr>
        <w:t>有下列情形之一的，</w:t>
      </w:r>
      <w:r>
        <w:rPr>
          <w:rFonts w:hint="eastAsia" w:ascii="宋体" w:hAnsi="宋体" w:cs="Courier New"/>
          <w:bCs/>
          <w:color w:val="auto"/>
          <w:szCs w:val="21"/>
          <w:lang w:eastAsia="zh-CN"/>
        </w:rPr>
        <w:t>磋商</w:t>
      </w:r>
      <w:r>
        <w:rPr>
          <w:rFonts w:hint="eastAsia" w:ascii="宋体" w:hAnsi="Courier New" w:cs="Courier New"/>
          <w:color w:val="auto"/>
          <w:kern w:val="0"/>
          <w:szCs w:val="21"/>
        </w:rPr>
        <w:t>保证金不予退还，并上缴本级财政国库：</w:t>
      </w:r>
    </w:p>
    <w:p w14:paraId="74F0A82C">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（1）供应商在提交响应文件截止时间后撤回响应文件的；</w:t>
      </w:r>
    </w:p>
    <w:p w14:paraId="010B8918">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（2）供应商在响应文件中提供虚假材料的；</w:t>
      </w:r>
    </w:p>
    <w:p w14:paraId="3A99B43B">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（3）除因不可抗力或</w:t>
      </w:r>
      <w:r>
        <w:rPr>
          <w:rFonts w:hint="eastAsia" w:ascii="宋体" w:hAnsi="宋体" w:cs="Courier New"/>
          <w:color w:val="auto"/>
          <w:szCs w:val="21"/>
          <w:lang w:eastAsia="zh-CN"/>
        </w:rPr>
        <w:t>磋商</w:t>
      </w:r>
      <w:r>
        <w:rPr>
          <w:rFonts w:hint="eastAsia" w:ascii="宋体" w:hAnsi="宋体" w:cs="Courier New"/>
          <w:color w:val="auto"/>
          <w:szCs w:val="21"/>
        </w:rPr>
        <w:t>文件认可的情形以外，成交供应商不与采购人签订合同的；</w:t>
      </w:r>
    </w:p>
    <w:p w14:paraId="0ECD90EE">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（4）供应商与采购人、其他供应商或者采购代理机构恶意串通的；</w:t>
      </w:r>
    </w:p>
    <w:p w14:paraId="212621E3">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（5）</w:t>
      </w:r>
      <w:r>
        <w:rPr>
          <w:rFonts w:hint="eastAsia" w:ascii="宋体" w:hAnsi="宋体" w:cs="Courier New"/>
          <w:color w:val="auto"/>
          <w:szCs w:val="21"/>
          <w:lang w:eastAsia="zh-CN"/>
        </w:rPr>
        <w:t>磋商</w:t>
      </w:r>
      <w:r>
        <w:rPr>
          <w:rFonts w:hint="eastAsia" w:ascii="宋体" w:hAnsi="宋体" w:cs="Courier New"/>
          <w:color w:val="auto"/>
          <w:szCs w:val="21"/>
        </w:rPr>
        <w:t>文件规定的其他情形。</w:t>
      </w:r>
    </w:p>
    <w:p w14:paraId="5D5513AD">
      <w:pPr>
        <w:spacing w:line="360" w:lineRule="auto"/>
        <w:outlineLvl w:val="9"/>
        <w:rPr>
          <w:rFonts w:hint="eastAsia" w:ascii="宋体" w:hAnsi="宋体" w:eastAsia="宋体" w:cs="宋体"/>
          <w:b/>
          <w:bCs/>
          <w:color w:val="auto"/>
          <w:sz w:val="22"/>
          <w:szCs w:val="22"/>
          <w:lang w:val="en-US" w:eastAsia="zh-CN"/>
        </w:rPr>
      </w:pPr>
      <w:bookmarkStart w:id="69" w:name="_Toc107997850"/>
      <w:bookmarkStart w:id="70" w:name="_Toc107997977"/>
      <w:r>
        <w:rPr>
          <w:rFonts w:hint="eastAsia" w:ascii="宋体" w:hAnsi="宋体" w:eastAsia="宋体" w:cs="宋体"/>
          <w:b/>
          <w:bCs/>
          <w:color w:val="auto"/>
          <w:sz w:val="22"/>
          <w:szCs w:val="22"/>
          <w:lang w:val="en-US" w:eastAsia="zh-CN"/>
        </w:rPr>
        <w:t>12.响应文件有效期</w:t>
      </w:r>
      <w:bookmarkEnd w:id="69"/>
      <w:bookmarkEnd w:id="70"/>
    </w:p>
    <w:p w14:paraId="014CA67D">
      <w:pPr>
        <w:adjustRightInd w:val="0"/>
        <w:snapToGrid w:val="0"/>
        <w:spacing w:line="360" w:lineRule="auto"/>
        <w:ind w:firstLine="420" w:firstLineChars="200"/>
        <w:jc w:val="left"/>
        <w:outlineLvl w:val="9"/>
        <w:rPr>
          <w:rFonts w:hAnsi="宋体"/>
          <w:color w:val="auto"/>
        </w:rPr>
      </w:pPr>
      <w:r>
        <w:rPr>
          <w:rFonts w:hint="eastAsia" w:ascii="宋体" w:hAnsi="宋体"/>
          <w:color w:val="auto"/>
        </w:rPr>
        <w:t>1</w:t>
      </w:r>
      <w:r>
        <w:rPr>
          <w:rFonts w:hint="eastAsia" w:ascii="宋体" w:hAnsi="宋体"/>
          <w:color w:val="auto"/>
          <w:lang w:val="en-US" w:eastAsia="zh-CN"/>
        </w:rPr>
        <w:t>2</w:t>
      </w:r>
      <w:r>
        <w:rPr>
          <w:rFonts w:hint="eastAsia" w:ascii="宋体" w:hAnsi="宋体"/>
          <w:color w:val="auto"/>
        </w:rPr>
        <w:t>.1响应文件</w:t>
      </w:r>
      <w:r>
        <w:rPr>
          <w:rFonts w:hint="eastAsia" w:ascii="宋体" w:hAnsi="宋体"/>
          <w:color w:val="auto"/>
          <w:szCs w:val="21"/>
        </w:rPr>
        <w:t>有效期见</w:t>
      </w:r>
      <w:r>
        <w:rPr>
          <w:rFonts w:hint="eastAsia" w:hAnsi="宋体"/>
          <w:b/>
          <w:bCs/>
          <w:color w:val="auto"/>
        </w:rPr>
        <w:t>【</w:t>
      </w:r>
      <w:r>
        <w:rPr>
          <w:rFonts w:hint="eastAsia" w:hAnsi="宋体"/>
          <w:b/>
          <w:bCs/>
          <w:color w:val="auto"/>
          <w:lang w:eastAsia="zh-CN"/>
        </w:rPr>
        <w:t>磋商</w:t>
      </w:r>
      <w:r>
        <w:rPr>
          <w:rFonts w:hint="eastAsia" w:hAnsi="宋体"/>
          <w:b/>
          <w:bCs/>
          <w:color w:val="auto"/>
        </w:rPr>
        <w:t>须知前附表】</w:t>
      </w:r>
      <w:r>
        <w:rPr>
          <w:rFonts w:hint="eastAsia" w:ascii="宋体" w:hAnsi="宋体"/>
          <w:color w:val="auto"/>
          <w:szCs w:val="21"/>
        </w:rPr>
        <w:t>，在此期间</w:t>
      </w:r>
      <w:r>
        <w:rPr>
          <w:rFonts w:hint="eastAsia" w:ascii="宋体" w:hAnsi="宋体"/>
          <w:color w:val="auto"/>
        </w:rPr>
        <w:t>响应</w:t>
      </w:r>
      <w:r>
        <w:rPr>
          <w:rFonts w:hint="eastAsia" w:ascii="宋体" w:hAnsi="宋体"/>
          <w:color w:val="auto"/>
          <w:szCs w:val="21"/>
        </w:rPr>
        <w:t>文件对供应商具有法律约束力，</w:t>
      </w:r>
      <w:r>
        <w:rPr>
          <w:rFonts w:hint="eastAsia" w:ascii="宋体" w:hAnsi="宋体" w:cs="Arial"/>
          <w:color w:val="auto"/>
        </w:rPr>
        <w:t>从</w:t>
      </w:r>
      <w:r>
        <w:rPr>
          <w:rFonts w:hint="eastAsia" w:ascii="宋体" w:hAnsi="宋体" w:cs="宋体"/>
          <w:color w:val="auto"/>
          <w:kern w:val="0"/>
          <w:szCs w:val="21"/>
        </w:rPr>
        <w:t>提交首次响应文件截止时间</w:t>
      </w:r>
      <w:r>
        <w:rPr>
          <w:rFonts w:hint="eastAsia" w:hAnsi="宋体"/>
          <w:color w:val="auto"/>
        </w:rPr>
        <w:t>之日</w:t>
      </w:r>
      <w:r>
        <w:rPr>
          <w:rFonts w:hint="eastAsia" w:hAnsi="宋体" w:cs="Arial"/>
          <w:color w:val="auto"/>
        </w:rPr>
        <w:t>起计算。</w:t>
      </w:r>
      <w:r>
        <w:rPr>
          <w:rFonts w:hint="eastAsia" w:hAnsi="宋体"/>
          <w:color w:val="auto"/>
        </w:rPr>
        <w:t>响应文件有效期不足的</w:t>
      </w:r>
      <w:r>
        <w:rPr>
          <w:rFonts w:hint="eastAsia" w:hAnsi="宋体"/>
          <w:color w:val="auto"/>
          <w:lang w:eastAsia="zh-CN"/>
        </w:rPr>
        <w:t>，</w:t>
      </w:r>
      <w:r>
        <w:rPr>
          <w:rFonts w:hint="eastAsia" w:ascii="宋体" w:hAnsi="宋体"/>
          <w:color w:val="auto"/>
        </w:rPr>
        <w:t>其</w:t>
      </w:r>
      <w:r>
        <w:rPr>
          <w:rFonts w:hint="eastAsia" w:ascii="宋体" w:hAnsi="宋体"/>
          <w:b/>
          <w:bCs/>
          <w:color w:val="auto"/>
        </w:rPr>
        <w:t>响应无效</w:t>
      </w:r>
      <w:r>
        <w:rPr>
          <w:rFonts w:hint="eastAsia" w:hAnsi="宋体"/>
          <w:color w:val="auto"/>
        </w:rPr>
        <w:t>。</w:t>
      </w:r>
    </w:p>
    <w:p w14:paraId="4E725CC5">
      <w:pPr>
        <w:spacing w:line="360" w:lineRule="auto"/>
        <w:outlineLvl w:val="9"/>
        <w:rPr>
          <w:rFonts w:hint="eastAsia" w:ascii="宋体" w:hAnsi="宋体" w:eastAsia="宋体" w:cs="宋体"/>
          <w:b/>
          <w:bCs/>
          <w:color w:val="auto"/>
          <w:sz w:val="22"/>
          <w:szCs w:val="22"/>
          <w:lang w:val="en-US" w:eastAsia="zh-CN"/>
        </w:rPr>
      </w:pPr>
      <w:bookmarkStart w:id="71" w:name="_Toc107997851"/>
      <w:bookmarkStart w:id="72" w:name="_Toc107997978"/>
      <w:r>
        <w:rPr>
          <w:rFonts w:hint="eastAsia" w:ascii="宋体" w:hAnsi="宋体" w:eastAsia="宋体" w:cs="宋体"/>
          <w:b/>
          <w:bCs/>
          <w:color w:val="auto"/>
          <w:sz w:val="22"/>
          <w:szCs w:val="22"/>
          <w:lang w:val="en-US" w:eastAsia="zh-CN"/>
        </w:rPr>
        <w:t>13.分包</w:t>
      </w:r>
      <w:bookmarkEnd w:id="71"/>
      <w:bookmarkEnd w:id="72"/>
    </w:p>
    <w:p w14:paraId="6A92D01D">
      <w:pPr>
        <w:adjustRightInd w:val="0"/>
        <w:snapToGrid w:val="0"/>
        <w:spacing w:before="156" w:beforeLines="50" w:line="360" w:lineRule="auto"/>
        <w:ind w:firstLine="420" w:firstLineChars="200"/>
        <w:jc w:val="left"/>
        <w:outlineLvl w:val="9"/>
        <w:rPr>
          <w:rFonts w:ascii="宋体" w:hAnsi="宋体"/>
          <w:color w:val="auto"/>
        </w:rPr>
      </w:pPr>
      <w:r>
        <w:rPr>
          <w:rFonts w:hint="eastAsia" w:ascii="宋体" w:hAnsi="宋体"/>
          <w:color w:val="auto"/>
        </w:rPr>
        <w:t>1</w:t>
      </w:r>
      <w:r>
        <w:rPr>
          <w:rFonts w:hint="eastAsia" w:ascii="宋体" w:hAnsi="宋体"/>
          <w:color w:val="auto"/>
          <w:lang w:val="en-US" w:eastAsia="zh-CN"/>
        </w:rPr>
        <w:t>3</w:t>
      </w:r>
      <w:r>
        <w:rPr>
          <w:rFonts w:hint="eastAsia" w:ascii="宋体" w:hAnsi="宋体"/>
          <w:color w:val="auto"/>
        </w:rPr>
        <w:t>.1</w:t>
      </w:r>
      <w:r>
        <w:rPr>
          <w:rFonts w:hint="eastAsia" w:hAnsi="宋体"/>
          <w:b/>
          <w:bCs/>
          <w:color w:val="auto"/>
        </w:rPr>
        <w:t>【</w:t>
      </w:r>
      <w:r>
        <w:rPr>
          <w:rFonts w:hint="eastAsia" w:hAnsi="宋体"/>
          <w:b/>
          <w:bCs/>
          <w:color w:val="auto"/>
          <w:lang w:eastAsia="zh-CN"/>
        </w:rPr>
        <w:t>磋商</w:t>
      </w:r>
      <w:r>
        <w:rPr>
          <w:rFonts w:hint="eastAsia" w:hAnsi="宋体"/>
          <w:b/>
          <w:bCs/>
          <w:color w:val="auto"/>
        </w:rPr>
        <w:t>须知前附表】</w:t>
      </w:r>
      <w:r>
        <w:rPr>
          <w:rFonts w:hint="eastAsia" w:ascii="宋体" w:hAnsi="宋体"/>
          <w:color w:val="auto"/>
        </w:rPr>
        <w:t>规定供应商分包的，供应商分包承诺不符合竞争性</w:t>
      </w:r>
      <w:r>
        <w:rPr>
          <w:rFonts w:hint="eastAsia" w:ascii="宋体" w:hAnsi="宋体"/>
          <w:color w:val="auto"/>
          <w:lang w:eastAsia="zh-CN"/>
        </w:rPr>
        <w:t>磋商</w:t>
      </w:r>
      <w:r>
        <w:rPr>
          <w:rFonts w:hint="eastAsia" w:ascii="宋体" w:hAnsi="宋体"/>
          <w:color w:val="auto"/>
        </w:rPr>
        <w:t>文件中有关分包规定的，其</w:t>
      </w:r>
      <w:r>
        <w:rPr>
          <w:rFonts w:hint="eastAsia" w:ascii="宋体" w:hAnsi="宋体"/>
          <w:b/>
          <w:bCs/>
          <w:color w:val="auto"/>
        </w:rPr>
        <w:t>响应无效</w:t>
      </w:r>
      <w:r>
        <w:rPr>
          <w:rFonts w:hint="eastAsia" w:ascii="宋体" w:hAnsi="宋体"/>
          <w:color w:val="auto"/>
        </w:rPr>
        <w:t>。</w:t>
      </w:r>
    </w:p>
    <w:p w14:paraId="13C742CD">
      <w:pPr>
        <w:adjustRightInd w:val="0"/>
        <w:snapToGrid w:val="0"/>
        <w:spacing w:before="156" w:beforeLines="50" w:line="360" w:lineRule="auto"/>
        <w:ind w:firstLine="420" w:firstLineChars="200"/>
        <w:jc w:val="left"/>
        <w:outlineLvl w:val="9"/>
        <w:rPr>
          <w:rFonts w:ascii="宋体" w:hAnsi="宋体"/>
          <w:color w:val="auto"/>
        </w:rPr>
      </w:pPr>
      <w:r>
        <w:rPr>
          <w:rFonts w:hint="eastAsia" w:ascii="宋体" w:hAnsi="宋体"/>
          <w:color w:val="auto"/>
        </w:rPr>
        <w:t>1</w:t>
      </w:r>
      <w:r>
        <w:rPr>
          <w:rFonts w:hint="eastAsia" w:ascii="宋体" w:hAnsi="宋体"/>
          <w:color w:val="auto"/>
          <w:lang w:val="en-US" w:eastAsia="zh-CN"/>
        </w:rPr>
        <w:t>3</w:t>
      </w:r>
      <w:r>
        <w:rPr>
          <w:rFonts w:hint="eastAsia" w:ascii="宋体" w:hAnsi="宋体"/>
          <w:color w:val="auto"/>
        </w:rPr>
        <w:t>.2供应商应在签订政府采购合同前向采购人提供分包合同，否则，采购人有权拒绝签订采购合同。</w:t>
      </w:r>
    </w:p>
    <w:p w14:paraId="3322E53E">
      <w:pPr>
        <w:adjustRightInd w:val="0"/>
        <w:snapToGrid w:val="0"/>
        <w:spacing w:before="156" w:beforeLines="50" w:line="360" w:lineRule="auto"/>
        <w:ind w:firstLine="420" w:firstLineChars="200"/>
        <w:jc w:val="left"/>
        <w:outlineLvl w:val="9"/>
        <w:rPr>
          <w:rFonts w:ascii="宋体" w:hAnsi="宋体"/>
          <w:color w:val="auto"/>
        </w:rPr>
      </w:pPr>
      <w:r>
        <w:rPr>
          <w:rFonts w:hint="eastAsia" w:ascii="宋体" w:hAnsi="宋体"/>
          <w:color w:val="auto"/>
        </w:rPr>
        <w:t>1</w:t>
      </w:r>
      <w:r>
        <w:rPr>
          <w:rFonts w:hint="eastAsia" w:ascii="宋体" w:hAnsi="宋体"/>
          <w:color w:val="auto"/>
          <w:lang w:val="en-US" w:eastAsia="zh-CN"/>
        </w:rPr>
        <w:t>3</w:t>
      </w:r>
      <w:r>
        <w:rPr>
          <w:rFonts w:hint="eastAsia" w:ascii="宋体" w:hAnsi="宋体"/>
          <w:color w:val="auto"/>
        </w:rPr>
        <w:t>.3享受中小企业扶持政策获得政府采购合同的，小微企业不得将合同分包给大中型企业，中型企业不得将合同分包给大型企业。</w:t>
      </w:r>
    </w:p>
    <w:p w14:paraId="232808E1">
      <w:pPr>
        <w:adjustRightInd w:val="0"/>
        <w:snapToGrid w:val="0"/>
        <w:spacing w:before="156" w:beforeLines="50" w:line="360" w:lineRule="auto"/>
        <w:ind w:firstLine="420" w:firstLineChars="200"/>
        <w:jc w:val="left"/>
        <w:outlineLvl w:val="9"/>
        <w:rPr>
          <w:rFonts w:ascii="宋体" w:hAnsi="宋体"/>
          <w:color w:val="auto"/>
        </w:rPr>
      </w:pPr>
      <w:r>
        <w:rPr>
          <w:rFonts w:hint="eastAsia" w:ascii="宋体" w:hAnsi="宋体"/>
          <w:color w:val="auto"/>
        </w:rPr>
        <w:t>1</w:t>
      </w:r>
      <w:r>
        <w:rPr>
          <w:rFonts w:hint="eastAsia" w:ascii="宋体" w:hAnsi="宋体"/>
          <w:color w:val="auto"/>
          <w:lang w:val="en-US" w:eastAsia="zh-CN"/>
        </w:rPr>
        <w:t>3</w:t>
      </w:r>
      <w:r>
        <w:rPr>
          <w:rFonts w:hint="eastAsia" w:ascii="宋体" w:hAnsi="宋体"/>
          <w:color w:val="auto"/>
        </w:rPr>
        <w:t>.4分包供应商不得再次分包。</w:t>
      </w:r>
    </w:p>
    <w:p w14:paraId="46E31610">
      <w:pPr>
        <w:spacing w:line="360" w:lineRule="auto"/>
        <w:outlineLvl w:val="9"/>
        <w:rPr>
          <w:rFonts w:hint="eastAsia" w:ascii="宋体" w:hAnsi="宋体" w:eastAsia="宋体" w:cs="宋体"/>
          <w:b/>
          <w:bCs/>
          <w:color w:val="auto"/>
          <w:sz w:val="22"/>
          <w:szCs w:val="22"/>
          <w:lang w:val="en-US" w:eastAsia="zh-CN"/>
        </w:rPr>
      </w:pPr>
      <w:bookmarkStart w:id="73" w:name="_Toc107997979"/>
      <w:bookmarkStart w:id="74" w:name="_Toc107997852"/>
      <w:r>
        <w:rPr>
          <w:rFonts w:hint="eastAsia" w:ascii="宋体" w:hAnsi="宋体" w:eastAsia="宋体" w:cs="宋体"/>
          <w:b/>
          <w:bCs/>
          <w:color w:val="auto"/>
          <w:sz w:val="22"/>
          <w:szCs w:val="22"/>
          <w:lang w:val="en-US" w:eastAsia="zh-CN"/>
        </w:rPr>
        <w:t>14.响应文件的签署及规定</w:t>
      </w:r>
      <w:bookmarkEnd w:id="73"/>
      <w:bookmarkEnd w:id="74"/>
    </w:p>
    <w:p w14:paraId="716F64AC">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1</w:t>
      </w:r>
      <w:r>
        <w:rPr>
          <w:rFonts w:hint="eastAsia" w:ascii="宋体" w:hAnsi="宋体" w:cs="Courier New"/>
          <w:color w:val="auto"/>
          <w:szCs w:val="21"/>
          <w:lang w:val="en-US" w:eastAsia="zh-CN"/>
        </w:rPr>
        <w:t>4</w:t>
      </w:r>
      <w:r>
        <w:rPr>
          <w:rFonts w:hint="eastAsia" w:ascii="宋体" w:hAnsi="宋体" w:cs="Courier New"/>
          <w:color w:val="auto"/>
          <w:szCs w:val="21"/>
        </w:rPr>
        <w:t>.1响应文件应按</w:t>
      </w:r>
      <w:r>
        <w:rPr>
          <w:rFonts w:hint="eastAsia" w:ascii="宋体" w:hAnsi="宋体" w:cs="Courier New"/>
          <w:color w:val="auto"/>
          <w:szCs w:val="21"/>
          <w:lang w:eastAsia="zh-CN"/>
        </w:rPr>
        <w:t>磋商</w:t>
      </w:r>
      <w:r>
        <w:rPr>
          <w:rFonts w:hint="eastAsia" w:ascii="宋体" w:hAnsi="宋体" w:cs="Courier New"/>
          <w:color w:val="auto"/>
          <w:szCs w:val="21"/>
        </w:rPr>
        <w:t>文件要求在签章处盖供应商单位公章和在签字处由供应商代表签字。供应商代表可为供应商法定代表人(非法人组织为负责人或合伙人、个体工商户为负责人，</w:t>
      </w:r>
      <w:r>
        <w:rPr>
          <w:rFonts w:hint="eastAsia" w:ascii="宋体" w:hAnsi="宋体" w:cs="Courier New"/>
          <w:color w:val="auto"/>
          <w:szCs w:val="21"/>
          <w:lang w:eastAsia="zh-CN"/>
        </w:rPr>
        <w:t>磋商</w:t>
      </w:r>
      <w:r>
        <w:rPr>
          <w:rFonts w:hint="eastAsia" w:ascii="宋体" w:hAnsi="宋体" w:cs="Courier New"/>
          <w:color w:val="auto"/>
          <w:szCs w:val="21"/>
        </w:rPr>
        <w:t>文件统称单位负责人)；供应商代表不是供应商的法定代表人（单位负责人）的，应提供授权委托书。</w:t>
      </w:r>
    </w:p>
    <w:p w14:paraId="0FB433AF">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w:t>
      </w:r>
      <w:r>
        <w:rPr>
          <w:rFonts w:hint="eastAsia" w:ascii="宋体" w:hAnsi="宋体" w:cs="Courier New"/>
          <w:color w:val="auto"/>
          <w:szCs w:val="21"/>
          <w:lang w:val="en-US" w:eastAsia="zh-CN"/>
        </w:rPr>
        <w:t>4</w:t>
      </w:r>
      <w:r>
        <w:rPr>
          <w:rFonts w:hint="eastAsia" w:ascii="宋体" w:hAnsi="宋体" w:cs="Courier New"/>
          <w:color w:val="auto"/>
          <w:szCs w:val="21"/>
        </w:rPr>
        <w:t>.2响应文件正本一份，副本份数见</w:t>
      </w:r>
      <w:r>
        <w:rPr>
          <w:rFonts w:hint="eastAsia" w:ascii="宋体" w:hAnsi="宋体" w:cs="Courier New"/>
          <w:b/>
          <w:color w:val="auto"/>
          <w:szCs w:val="21"/>
        </w:rPr>
        <w:t>【</w:t>
      </w:r>
      <w:r>
        <w:rPr>
          <w:rFonts w:hint="eastAsia" w:ascii="宋体" w:hAnsi="宋体" w:cs="Courier New"/>
          <w:b/>
          <w:color w:val="auto"/>
          <w:szCs w:val="21"/>
          <w:lang w:eastAsia="zh-CN"/>
        </w:rPr>
        <w:t>磋商</w:t>
      </w:r>
      <w:r>
        <w:rPr>
          <w:rFonts w:hint="eastAsia" w:ascii="宋体" w:hAnsi="宋体" w:cs="Courier New"/>
          <w:b/>
          <w:color w:val="auto"/>
          <w:szCs w:val="21"/>
        </w:rPr>
        <w:t>须知前附表】</w:t>
      </w:r>
      <w:r>
        <w:rPr>
          <w:rFonts w:hint="eastAsia" w:ascii="宋体" w:hAnsi="宋体" w:cs="Courier New"/>
          <w:color w:val="auto"/>
          <w:szCs w:val="21"/>
        </w:rPr>
        <w:t>；响应文件电子文档（U盘或光盘形式）</w:t>
      </w:r>
      <w:r>
        <w:rPr>
          <w:rFonts w:hint="eastAsia" w:ascii="宋体" w:hAnsi="宋体" w:cs="Courier New"/>
          <w:color w:val="auto"/>
          <w:szCs w:val="21"/>
          <w:lang w:eastAsia="zh-CN"/>
        </w:rPr>
        <w:t>份数</w:t>
      </w:r>
      <w:r>
        <w:rPr>
          <w:rFonts w:hint="eastAsia" w:ascii="宋体" w:hAnsi="宋体" w:cs="Courier New"/>
          <w:color w:val="auto"/>
          <w:szCs w:val="21"/>
        </w:rPr>
        <w:t>：见</w:t>
      </w:r>
      <w:r>
        <w:rPr>
          <w:rFonts w:hint="eastAsia" w:ascii="宋体" w:hAnsi="宋体" w:cs="Courier New"/>
          <w:b/>
          <w:color w:val="auto"/>
          <w:szCs w:val="21"/>
        </w:rPr>
        <w:t>【</w:t>
      </w:r>
      <w:r>
        <w:rPr>
          <w:rFonts w:hint="eastAsia" w:ascii="宋体" w:hAnsi="宋体" w:cs="Courier New"/>
          <w:b/>
          <w:color w:val="auto"/>
          <w:szCs w:val="21"/>
          <w:lang w:eastAsia="zh-CN"/>
        </w:rPr>
        <w:t>磋商</w:t>
      </w:r>
      <w:r>
        <w:rPr>
          <w:rFonts w:hint="eastAsia" w:ascii="宋体" w:hAnsi="宋体" w:cs="Courier New"/>
          <w:b/>
          <w:color w:val="auto"/>
          <w:szCs w:val="21"/>
        </w:rPr>
        <w:t>须知前附表】。</w:t>
      </w:r>
      <w:r>
        <w:rPr>
          <w:rFonts w:hint="eastAsia" w:ascii="宋体" w:hAnsi="宋体" w:cs="Courier New"/>
          <w:color w:val="auto"/>
          <w:szCs w:val="21"/>
        </w:rPr>
        <w:t>纸质响应文件须清楚地注明“正本”或“副本”的字样。若副本和正本不一致或电子版文件和纸质正本文件不一致时，以纸质正本文件为准。响应文件的正本与副本应分别装订成册，并编制目录。响应文件的副本可为正本的复印件。</w:t>
      </w:r>
    </w:p>
    <w:p w14:paraId="6F17BF09">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1</w:t>
      </w:r>
      <w:r>
        <w:rPr>
          <w:rFonts w:hint="eastAsia" w:ascii="宋体" w:hAnsi="宋体"/>
          <w:color w:val="auto"/>
          <w:szCs w:val="21"/>
          <w:lang w:val="en-US" w:eastAsia="zh-CN"/>
        </w:rPr>
        <w:t>4</w:t>
      </w:r>
      <w:r>
        <w:rPr>
          <w:rFonts w:hint="eastAsia" w:ascii="宋体" w:hAnsi="宋体"/>
          <w:color w:val="auto"/>
          <w:szCs w:val="21"/>
        </w:rPr>
        <w:t>.3</w:t>
      </w:r>
      <w:r>
        <w:rPr>
          <w:rFonts w:hint="eastAsia" w:hAnsi="宋体"/>
          <w:color w:val="auto"/>
        </w:rPr>
        <w:t>响应文件任何加行、涂改、增删等改动，改动之处应由供应商代表签字。否则，将导致</w:t>
      </w:r>
      <w:r>
        <w:rPr>
          <w:rFonts w:hint="eastAsia" w:hAnsi="宋体"/>
          <w:b/>
          <w:color w:val="auto"/>
        </w:rPr>
        <w:t>响应文件无效。</w:t>
      </w:r>
    </w:p>
    <w:p w14:paraId="7A0DFD1F">
      <w:pPr>
        <w:adjustRightInd w:val="0"/>
        <w:snapToGrid w:val="0"/>
        <w:spacing w:line="360" w:lineRule="auto"/>
        <w:ind w:firstLine="420" w:firstLineChars="200"/>
        <w:rPr>
          <w:rFonts w:ascii="宋体" w:hAnsi="宋体" w:cs="Courier New"/>
          <w:color w:val="auto"/>
          <w:szCs w:val="21"/>
        </w:rPr>
      </w:pPr>
      <w:r>
        <w:rPr>
          <w:rFonts w:hint="eastAsia" w:ascii="宋体" w:hAnsi="宋体" w:cs="Courier New"/>
          <w:color w:val="auto"/>
          <w:szCs w:val="21"/>
        </w:rPr>
        <w:t>1</w:t>
      </w:r>
      <w:r>
        <w:rPr>
          <w:rFonts w:hint="eastAsia" w:ascii="宋体" w:hAnsi="宋体" w:cs="Courier New"/>
          <w:color w:val="auto"/>
          <w:szCs w:val="21"/>
          <w:lang w:val="en-US" w:eastAsia="zh-CN"/>
        </w:rPr>
        <w:t>4</w:t>
      </w:r>
      <w:r>
        <w:rPr>
          <w:rFonts w:hint="eastAsia" w:ascii="宋体" w:hAnsi="宋体" w:cs="Courier New"/>
          <w:color w:val="auto"/>
          <w:szCs w:val="21"/>
        </w:rPr>
        <w:t>.4在</w:t>
      </w:r>
      <w:r>
        <w:rPr>
          <w:rFonts w:hint="eastAsia" w:ascii="宋体" w:hAnsi="宋体" w:cs="Courier New"/>
          <w:color w:val="auto"/>
          <w:szCs w:val="21"/>
          <w:lang w:eastAsia="zh-CN"/>
        </w:rPr>
        <w:t>磋商</w:t>
      </w:r>
      <w:r>
        <w:rPr>
          <w:rFonts w:hint="eastAsia" w:ascii="宋体" w:hAnsi="宋体" w:cs="Courier New"/>
          <w:color w:val="auto"/>
          <w:szCs w:val="21"/>
        </w:rPr>
        <w:t>过程中，供应商按</w:t>
      </w:r>
      <w:r>
        <w:rPr>
          <w:rFonts w:hint="eastAsia" w:ascii="宋体" w:hAnsi="宋体" w:cs="Courier New"/>
          <w:color w:val="auto"/>
          <w:szCs w:val="21"/>
          <w:lang w:eastAsia="zh-CN"/>
        </w:rPr>
        <w:t>磋商</w:t>
      </w:r>
      <w:r>
        <w:rPr>
          <w:rFonts w:hint="eastAsia" w:ascii="宋体" w:hAnsi="宋体" w:cs="Courier New"/>
          <w:color w:val="auto"/>
          <w:szCs w:val="21"/>
        </w:rPr>
        <w:t>文件规定和</w:t>
      </w:r>
      <w:r>
        <w:rPr>
          <w:rFonts w:hint="eastAsia" w:ascii="宋体" w:hAnsi="宋体" w:cs="Courier New"/>
          <w:color w:val="auto"/>
          <w:szCs w:val="21"/>
          <w:lang w:eastAsia="zh-CN"/>
        </w:rPr>
        <w:t>磋商</w:t>
      </w:r>
      <w:r>
        <w:rPr>
          <w:rFonts w:hint="eastAsia" w:ascii="宋体" w:hAnsi="宋体" w:cs="Courier New"/>
          <w:color w:val="auto"/>
          <w:szCs w:val="21"/>
        </w:rPr>
        <w:t>小组要求</w:t>
      </w:r>
      <w:r>
        <w:rPr>
          <w:rFonts w:hint="eastAsia" w:ascii="宋体" w:hAnsi="宋体" w:cs="宋体"/>
          <w:color w:val="auto"/>
          <w:kern w:val="0"/>
          <w:szCs w:val="21"/>
        </w:rPr>
        <w:t>提交的</w:t>
      </w:r>
      <w:r>
        <w:rPr>
          <w:rFonts w:hint="eastAsia" w:ascii="宋体" w:hAnsi="宋体" w:cs="Courier New"/>
          <w:color w:val="auto"/>
          <w:szCs w:val="21"/>
        </w:rPr>
        <w:t>最后报价(或者</w:t>
      </w:r>
      <w:r>
        <w:rPr>
          <w:rFonts w:hint="eastAsia" w:ascii="宋体" w:hAnsi="宋体" w:cs="Courier New"/>
          <w:bCs/>
          <w:color w:val="auto"/>
          <w:szCs w:val="21"/>
        </w:rPr>
        <w:t>重</w:t>
      </w:r>
      <w:r>
        <w:rPr>
          <w:rFonts w:hint="eastAsia" w:ascii="宋体" w:hAnsi="宋体" w:cs="宋体"/>
          <w:color w:val="auto"/>
          <w:kern w:val="0"/>
          <w:szCs w:val="21"/>
        </w:rPr>
        <w:t>新提交的响应文件和</w:t>
      </w:r>
      <w:r>
        <w:rPr>
          <w:rFonts w:hint="eastAsia" w:ascii="宋体" w:hAnsi="宋体" w:cs="Courier New"/>
          <w:color w:val="auto"/>
          <w:szCs w:val="21"/>
        </w:rPr>
        <w:t>最后报价)，可打印或用不褪色材料书写，并经供应商代表签字，</w:t>
      </w:r>
      <w:r>
        <w:rPr>
          <w:rFonts w:hint="eastAsia" w:ascii="宋体" w:hAnsi="宋体" w:cs="宋体"/>
          <w:color w:val="auto"/>
          <w:kern w:val="0"/>
          <w:szCs w:val="21"/>
        </w:rPr>
        <w:t>或者加盖供应商单位公章</w:t>
      </w:r>
      <w:r>
        <w:rPr>
          <w:rFonts w:hint="eastAsia" w:ascii="宋体" w:hAnsi="宋体" w:cs="Courier New"/>
          <w:color w:val="auto"/>
          <w:szCs w:val="21"/>
        </w:rPr>
        <w:t>。否则，</w:t>
      </w:r>
      <w:r>
        <w:rPr>
          <w:rFonts w:hint="eastAsia" w:ascii="宋体" w:hAnsi="宋体" w:cs="Courier New"/>
          <w:b w:val="0"/>
          <w:bCs w:val="0"/>
          <w:color w:val="auto"/>
          <w:szCs w:val="21"/>
        </w:rPr>
        <w:t>将导致</w:t>
      </w:r>
      <w:r>
        <w:rPr>
          <w:rFonts w:hint="eastAsia" w:ascii="宋体" w:hAnsi="宋体" w:cs="Courier New"/>
          <w:b/>
          <w:bCs/>
          <w:color w:val="auto"/>
          <w:szCs w:val="21"/>
        </w:rPr>
        <w:t>响应文件无效。</w:t>
      </w:r>
    </w:p>
    <w:p w14:paraId="21A6731C">
      <w:pPr>
        <w:adjustRightInd w:val="0"/>
        <w:snapToGrid w:val="0"/>
        <w:spacing w:line="360" w:lineRule="auto"/>
        <w:ind w:firstLine="420" w:firstLineChars="200"/>
        <w:jc w:val="left"/>
        <w:rPr>
          <w:rFonts w:ascii="宋体" w:hAnsi="宋体"/>
          <w:color w:val="auto"/>
          <w:szCs w:val="21"/>
        </w:rPr>
      </w:pPr>
      <w:r>
        <w:rPr>
          <w:rFonts w:hint="eastAsia" w:ascii="宋体" w:hAnsi="宋体"/>
          <w:color w:val="auto"/>
          <w:szCs w:val="21"/>
        </w:rPr>
        <w:t>1</w:t>
      </w:r>
      <w:r>
        <w:rPr>
          <w:rFonts w:hint="eastAsia" w:ascii="宋体" w:hAnsi="宋体"/>
          <w:color w:val="auto"/>
          <w:szCs w:val="21"/>
          <w:lang w:val="en-US" w:eastAsia="zh-CN"/>
        </w:rPr>
        <w:t>4</w:t>
      </w:r>
      <w:r>
        <w:rPr>
          <w:rFonts w:hint="eastAsia" w:ascii="宋体" w:hAnsi="宋体"/>
          <w:color w:val="auto"/>
          <w:szCs w:val="21"/>
        </w:rPr>
        <w:t>.5为便于采购文件保存，</w:t>
      </w:r>
      <w:r>
        <w:rPr>
          <w:rFonts w:hint="eastAsia" w:hAnsi="宋体"/>
          <w:color w:val="auto"/>
        </w:rPr>
        <w:t>响应文件</w:t>
      </w:r>
      <w:r>
        <w:rPr>
          <w:rFonts w:hint="eastAsia" w:ascii="宋体" w:hAnsi="宋体"/>
          <w:color w:val="auto"/>
          <w:szCs w:val="21"/>
        </w:rPr>
        <w:t>电子文档建议为PDF格式，内容与纸质</w:t>
      </w:r>
      <w:r>
        <w:rPr>
          <w:rFonts w:hint="eastAsia" w:hAnsi="宋体"/>
          <w:color w:val="auto"/>
        </w:rPr>
        <w:t>响应文件</w:t>
      </w:r>
      <w:r>
        <w:rPr>
          <w:rFonts w:hint="eastAsia" w:ascii="宋体" w:hAnsi="宋体"/>
          <w:color w:val="auto"/>
          <w:szCs w:val="21"/>
        </w:rPr>
        <w:t>正本一致。</w:t>
      </w:r>
    </w:p>
    <w:p w14:paraId="784E4545">
      <w:pPr>
        <w:adjustRightInd w:val="0"/>
        <w:snapToGrid w:val="0"/>
        <w:spacing w:line="360" w:lineRule="auto"/>
        <w:jc w:val="center"/>
        <w:outlineLvl w:val="9"/>
        <w:rPr>
          <w:rFonts w:hint="eastAsia" w:ascii="宋体" w:hAnsi="宋体" w:eastAsia="宋体" w:cs="宋体"/>
          <w:b/>
          <w:bCs/>
          <w:color w:val="auto"/>
          <w:sz w:val="24"/>
          <w:szCs w:val="24"/>
        </w:rPr>
      </w:pPr>
      <w:bookmarkStart w:id="75" w:name="_Toc107997980"/>
      <w:r>
        <w:rPr>
          <w:rFonts w:hint="eastAsia" w:ascii="宋体" w:hAnsi="宋体" w:eastAsia="宋体" w:cs="宋体"/>
          <w:b/>
          <w:bCs/>
          <w:color w:val="auto"/>
          <w:sz w:val="24"/>
          <w:szCs w:val="24"/>
        </w:rPr>
        <w:t>四、响应文件的递交</w:t>
      </w:r>
      <w:bookmarkEnd w:id="75"/>
    </w:p>
    <w:p w14:paraId="0792D4CB">
      <w:pPr>
        <w:spacing w:line="360" w:lineRule="auto"/>
        <w:outlineLvl w:val="9"/>
        <w:rPr>
          <w:rFonts w:hint="eastAsia" w:ascii="宋体" w:hAnsi="宋体" w:eastAsia="宋体" w:cs="宋体"/>
          <w:b/>
          <w:bCs/>
          <w:color w:val="auto"/>
          <w:sz w:val="22"/>
          <w:szCs w:val="22"/>
          <w:lang w:val="en-US" w:eastAsia="zh-CN"/>
        </w:rPr>
      </w:pPr>
      <w:bookmarkStart w:id="76" w:name="_Toc107997854"/>
      <w:bookmarkStart w:id="77" w:name="_Toc107997981"/>
      <w:r>
        <w:rPr>
          <w:rFonts w:hint="eastAsia" w:ascii="宋体" w:hAnsi="宋体" w:eastAsia="宋体" w:cs="宋体"/>
          <w:b/>
          <w:bCs/>
          <w:color w:val="auto"/>
          <w:sz w:val="22"/>
          <w:szCs w:val="22"/>
          <w:lang w:val="en-US" w:eastAsia="zh-CN"/>
        </w:rPr>
        <w:t>15.响应文件的密封和标记</w:t>
      </w:r>
      <w:bookmarkEnd w:id="76"/>
      <w:bookmarkEnd w:id="77"/>
    </w:p>
    <w:p w14:paraId="248545BE">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1</w:t>
      </w:r>
      <w:r>
        <w:rPr>
          <w:rFonts w:hint="eastAsia" w:ascii="宋体" w:hAnsi="宋体" w:cs="Courier New"/>
          <w:color w:val="auto"/>
          <w:szCs w:val="21"/>
          <w:lang w:val="en-US" w:eastAsia="zh-CN"/>
        </w:rPr>
        <w:t>5</w:t>
      </w:r>
      <w:r>
        <w:rPr>
          <w:rFonts w:hint="eastAsia" w:ascii="宋体" w:hAnsi="宋体" w:cs="Courier New"/>
          <w:color w:val="auto"/>
          <w:szCs w:val="21"/>
        </w:rPr>
        <w:t>.1响应文件应密封包装，以保证其响应文件信息在提交首次响应文件截止时间前不被透露。</w:t>
      </w:r>
    </w:p>
    <w:p w14:paraId="71670903">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1</w:t>
      </w:r>
      <w:r>
        <w:rPr>
          <w:rFonts w:hint="eastAsia" w:ascii="宋体" w:hAnsi="宋体"/>
          <w:color w:val="auto"/>
          <w:szCs w:val="21"/>
          <w:lang w:val="en-US" w:eastAsia="zh-CN"/>
        </w:rPr>
        <w:t>5</w:t>
      </w:r>
      <w:r>
        <w:rPr>
          <w:rFonts w:hint="eastAsia" w:ascii="宋体" w:hAnsi="宋体"/>
          <w:color w:val="auto"/>
          <w:szCs w:val="21"/>
        </w:rPr>
        <w:t>.2响应文件封套上应写明的内容见</w:t>
      </w:r>
      <w:r>
        <w:rPr>
          <w:rFonts w:hint="eastAsia" w:ascii="宋体" w:hAnsi="宋体"/>
          <w:b/>
          <w:color w:val="auto"/>
          <w:szCs w:val="21"/>
        </w:rPr>
        <w:t>【</w:t>
      </w:r>
      <w:r>
        <w:rPr>
          <w:rFonts w:hint="eastAsia" w:hAnsi="宋体"/>
          <w:b/>
          <w:color w:val="auto"/>
          <w:lang w:eastAsia="zh-CN"/>
        </w:rPr>
        <w:t>磋商</w:t>
      </w:r>
      <w:r>
        <w:rPr>
          <w:rFonts w:hint="eastAsia" w:ascii="宋体" w:hAnsi="宋体"/>
          <w:b/>
          <w:color w:val="auto"/>
          <w:szCs w:val="21"/>
        </w:rPr>
        <w:t>须知前附表】。</w:t>
      </w:r>
    </w:p>
    <w:p w14:paraId="4B9AA5F2">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1</w:t>
      </w:r>
      <w:r>
        <w:rPr>
          <w:rFonts w:hint="eastAsia" w:ascii="宋体" w:hAnsi="宋体"/>
          <w:color w:val="auto"/>
          <w:szCs w:val="21"/>
          <w:lang w:val="en-US" w:eastAsia="zh-CN"/>
        </w:rPr>
        <w:t>5</w:t>
      </w:r>
      <w:r>
        <w:rPr>
          <w:rFonts w:hint="eastAsia" w:ascii="宋体" w:hAnsi="宋体"/>
          <w:color w:val="auto"/>
          <w:szCs w:val="21"/>
        </w:rPr>
        <w:t>.3响应文件如果未按本章第</w:t>
      </w:r>
      <w:r>
        <w:rPr>
          <w:rFonts w:hint="eastAsia" w:ascii="宋体" w:hAnsi="宋体"/>
          <w:color w:val="auto"/>
        </w:rPr>
        <w:t>1</w:t>
      </w:r>
      <w:r>
        <w:rPr>
          <w:rFonts w:hint="eastAsia" w:ascii="宋体" w:hAnsi="宋体"/>
          <w:color w:val="auto"/>
          <w:lang w:val="en-US" w:eastAsia="zh-CN"/>
        </w:rPr>
        <w:t>5</w:t>
      </w:r>
      <w:r>
        <w:rPr>
          <w:rFonts w:hint="eastAsia" w:ascii="宋体" w:hAnsi="宋体"/>
          <w:color w:val="auto"/>
        </w:rPr>
        <w:t>.1款</w:t>
      </w:r>
      <w:r>
        <w:rPr>
          <w:rFonts w:hint="eastAsia" w:ascii="宋体" w:hAnsi="宋体"/>
          <w:color w:val="auto"/>
          <w:szCs w:val="21"/>
        </w:rPr>
        <w:t>规定密封，采购人、采购代理机构将拒绝接收。</w:t>
      </w:r>
    </w:p>
    <w:p w14:paraId="44282496">
      <w:pPr>
        <w:spacing w:line="360" w:lineRule="auto"/>
        <w:outlineLvl w:val="9"/>
        <w:rPr>
          <w:rFonts w:hint="eastAsia" w:ascii="宋体" w:hAnsi="宋体" w:eastAsia="宋体" w:cs="宋体"/>
          <w:b/>
          <w:bCs/>
          <w:color w:val="auto"/>
          <w:sz w:val="22"/>
          <w:szCs w:val="22"/>
          <w:lang w:val="en-US" w:eastAsia="zh-CN"/>
        </w:rPr>
      </w:pPr>
      <w:bookmarkStart w:id="78" w:name="_Toc107997982"/>
      <w:bookmarkStart w:id="79" w:name="_Toc107997855"/>
      <w:r>
        <w:rPr>
          <w:rFonts w:hint="eastAsia" w:ascii="宋体" w:hAnsi="宋体" w:eastAsia="宋体" w:cs="宋体"/>
          <w:b/>
          <w:bCs/>
          <w:color w:val="auto"/>
          <w:sz w:val="22"/>
          <w:szCs w:val="22"/>
          <w:lang w:val="en-US" w:eastAsia="zh-CN"/>
        </w:rPr>
        <w:t>16.响应文件的</w:t>
      </w:r>
      <w:r>
        <w:rPr>
          <w:rFonts w:hint="eastAsia" w:ascii="宋体" w:hAnsi="宋体" w:eastAsia="宋体" w:cs="宋体"/>
          <w:b/>
          <w:bCs/>
          <w:color w:val="auto"/>
          <w:sz w:val="22"/>
          <w:szCs w:val="22"/>
          <w:lang w:val="zh-CN" w:eastAsia="zh-CN"/>
        </w:rPr>
        <w:t>补充、修改或者撤回</w:t>
      </w:r>
      <w:bookmarkEnd w:id="78"/>
      <w:bookmarkEnd w:id="79"/>
    </w:p>
    <w:p w14:paraId="622E0C03">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1</w:t>
      </w:r>
      <w:r>
        <w:rPr>
          <w:rFonts w:hint="eastAsia" w:ascii="宋体" w:hAnsi="宋体" w:cs="Courier New"/>
          <w:color w:val="auto"/>
          <w:szCs w:val="21"/>
          <w:lang w:val="en-US" w:eastAsia="zh-CN"/>
        </w:rPr>
        <w:t>6</w:t>
      </w:r>
      <w:r>
        <w:rPr>
          <w:rFonts w:hint="eastAsia" w:ascii="宋体" w:hAnsi="宋体" w:cs="Courier New"/>
          <w:color w:val="auto"/>
          <w:szCs w:val="21"/>
        </w:rPr>
        <w:t>.1</w:t>
      </w:r>
      <w:r>
        <w:rPr>
          <w:rFonts w:hint="eastAsia" w:ascii="宋体" w:hAnsi="宋体" w:cs="宋体"/>
          <w:color w:val="auto"/>
          <w:kern w:val="0"/>
          <w:szCs w:val="21"/>
        </w:rPr>
        <w:t>供应商在提交首次响应文件截止时间前，可以对所提交的首次响应文件进行补充、修改或者撤回，并书面通知采购人、采购代理机构。</w:t>
      </w:r>
      <w:r>
        <w:rPr>
          <w:rFonts w:hint="eastAsia" w:ascii="宋体" w:hAnsi="宋体" w:cs="Courier New"/>
          <w:color w:val="auto"/>
          <w:szCs w:val="21"/>
        </w:rPr>
        <w:t>该通知应有供应商代表签字。</w:t>
      </w:r>
    </w:p>
    <w:p w14:paraId="19C0DF3A">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1</w:t>
      </w:r>
      <w:r>
        <w:rPr>
          <w:rFonts w:hint="eastAsia" w:ascii="宋体" w:hAnsi="宋体" w:cs="Courier New"/>
          <w:color w:val="auto"/>
          <w:szCs w:val="21"/>
          <w:lang w:val="en-US" w:eastAsia="zh-CN"/>
        </w:rPr>
        <w:t>6</w:t>
      </w:r>
      <w:r>
        <w:rPr>
          <w:rFonts w:hint="eastAsia" w:ascii="宋体" w:hAnsi="宋体" w:cs="Courier New"/>
          <w:color w:val="auto"/>
          <w:szCs w:val="21"/>
        </w:rPr>
        <w:t>.2</w:t>
      </w:r>
      <w:r>
        <w:rPr>
          <w:rFonts w:hint="eastAsia" w:ascii="宋体" w:hAnsi="宋体" w:cs="宋体"/>
          <w:color w:val="auto"/>
          <w:kern w:val="0"/>
          <w:szCs w:val="21"/>
          <w:lang w:val="zh-CN"/>
        </w:rPr>
        <w:t>补充、修改的内容与响应文件不一致时，以补充、修改的内容为准。</w:t>
      </w:r>
    </w:p>
    <w:p w14:paraId="163C0F83">
      <w:pPr>
        <w:spacing w:line="360" w:lineRule="auto"/>
        <w:outlineLvl w:val="9"/>
        <w:rPr>
          <w:rFonts w:hint="eastAsia" w:ascii="宋体" w:hAnsi="宋体" w:eastAsia="宋体" w:cs="宋体"/>
          <w:b/>
          <w:bCs/>
          <w:color w:val="auto"/>
          <w:sz w:val="22"/>
          <w:szCs w:val="22"/>
          <w:lang w:val="en-US" w:eastAsia="zh-CN"/>
        </w:rPr>
      </w:pPr>
      <w:bookmarkStart w:id="80" w:name="_Toc107997983"/>
      <w:bookmarkStart w:id="81" w:name="_Toc107997856"/>
      <w:r>
        <w:rPr>
          <w:rFonts w:hint="eastAsia" w:ascii="宋体" w:hAnsi="宋体" w:eastAsia="宋体" w:cs="宋体"/>
          <w:b/>
          <w:bCs/>
          <w:color w:val="auto"/>
          <w:sz w:val="22"/>
          <w:szCs w:val="22"/>
          <w:lang w:val="en-US" w:eastAsia="zh-CN"/>
        </w:rPr>
        <w:t>17.响应文件的递交与接收</w:t>
      </w:r>
      <w:bookmarkEnd w:id="80"/>
      <w:bookmarkEnd w:id="81"/>
    </w:p>
    <w:p w14:paraId="28775C7D">
      <w:pPr>
        <w:adjustRightInd w:val="0"/>
        <w:snapToGrid w:val="0"/>
        <w:spacing w:line="360" w:lineRule="auto"/>
        <w:ind w:firstLine="420" w:firstLineChars="200"/>
        <w:outlineLvl w:val="9"/>
        <w:rPr>
          <w:rFonts w:hAnsi="宋体" w:cs="宋体"/>
          <w:color w:val="auto"/>
          <w:kern w:val="0"/>
        </w:rPr>
      </w:pPr>
      <w:r>
        <w:rPr>
          <w:rFonts w:hint="eastAsia" w:ascii="宋体" w:hAnsi="宋体"/>
          <w:color w:val="auto"/>
          <w:szCs w:val="21"/>
        </w:rPr>
        <w:t>1</w:t>
      </w:r>
      <w:r>
        <w:rPr>
          <w:rFonts w:hint="eastAsia" w:ascii="宋体" w:hAnsi="宋体"/>
          <w:color w:val="auto"/>
          <w:szCs w:val="21"/>
          <w:lang w:val="en-US" w:eastAsia="zh-CN"/>
        </w:rPr>
        <w:t>7</w:t>
      </w:r>
      <w:r>
        <w:rPr>
          <w:rFonts w:hint="eastAsia" w:ascii="宋体" w:hAnsi="宋体"/>
          <w:color w:val="auto"/>
          <w:szCs w:val="21"/>
        </w:rPr>
        <w:t>.1供应商应在</w:t>
      </w:r>
      <w:r>
        <w:rPr>
          <w:rFonts w:hint="eastAsia" w:ascii="宋体" w:hAnsi="宋体"/>
          <w:b/>
          <w:color w:val="auto"/>
          <w:szCs w:val="21"/>
        </w:rPr>
        <w:t>【</w:t>
      </w:r>
      <w:r>
        <w:rPr>
          <w:rFonts w:hint="eastAsia" w:hAnsi="宋体"/>
          <w:b/>
          <w:color w:val="auto"/>
          <w:lang w:eastAsia="zh-CN"/>
        </w:rPr>
        <w:t>磋商</w:t>
      </w:r>
      <w:r>
        <w:rPr>
          <w:rFonts w:hint="eastAsia" w:ascii="宋体" w:hAnsi="宋体"/>
          <w:b/>
          <w:color w:val="auto"/>
          <w:szCs w:val="21"/>
        </w:rPr>
        <w:t>须知前附表】</w:t>
      </w:r>
      <w:r>
        <w:rPr>
          <w:rFonts w:hint="eastAsia" w:hAnsi="宋体"/>
          <w:color w:val="auto"/>
        </w:rPr>
        <w:t>规定的</w:t>
      </w:r>
      <w:r>
        <w:rPr>
          <w:rFonts w:hint="eastAsia" w:ascii="宋体" w:hAnsi="宋体" w:cs="宋体"/>
          <w:color w:val="auto"/>
          <w:kern w:val="0"/>
          <w:szCs w:val="21"/>
        </w:rPr>
        <w:t>时间和</w:t>
      </w:r>
      <w:r>
        <w:rPr>
          <w:rFonts w:hint="eastAsia" w:ascii="宋体" w:hAnsi="宋体"/>
          <w:color w:val="auto"/>
          <w:szCs w:val="21"/>
        </w:rPr>
        <w:t>地点提交响应文件。</w:t>
      </w:r>
      <w:r>
        <w:rPr>
          <w:rFonts w:hint="eastAsia" w:hAnsi="宋体" w:cs="宋体"/>
          <w:color w:val="auto"/>
          <w:kern w:val="0"/>
        </w:rPr>
        <w:t>采购人、采购代理机构或者</w:t>
      </w:r>
      <w:r>
        <w:rPr>
          <w:rFonts w:hint="eastAsia" w:hAnsi="宋体" w:cs="宋体"/>
          <w:color w:val="auto"/>
          <w:kern w:val="0"/>
          <w:lang w:eastAsia="zh-CN"/>
        </w:rPr>
        <w:t>磋商</w:t>
      </w:r>
      <w:r>
        <w:rPr>
          <w:rFonts w:hint="eastAsia" w:hAnsi="宋体" w:cs="宋体"/>
          <w:color w:val="auto"/>
          <w:kern w:val="0"/>
        </w:rPr>
        <w:t>小组拒收逾期送达的响应文件。</w:t>
      </w:r>
    </w:p>
    <w:p w14:paraId="5F6E4571">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szCs w:val="21"/>
        </w:rPr>
        <w:t>1</w:t>
      </w:r>
      <w:r>
        <w:rPr>
          <w:rFonts w:hint="eastAsia" w:ascii="宋体" w:hAnsi="宋体"/>
          <w:color w:val="auto"/>
          <w:szCs w:val="21"/>
          <w:lang w:val="en-US" w:eastAsia="zh-CN"/>
        </w:rPr>
        <w:t>7</w:t>
      </w:r>
      <w:r>
        <w:rPr>
          <w:rFonts w:hint="eastAsia" w:ascii="宋体" w:hAnsi="宋体"/>
          <w:color w:val="auto"/>
          <w:szCs w:val="21"/>
        </w:rPr>
        <w:t>.2采购人、采购代理机构收到响应文件后，应当如实记载响应文件的送达时间和密封情况，签收保存，并向供应商出具包括以下信息的签收回执。任何单位和个人不得在提交首次响应文件截止时间前开启响应文件。</w:t>
      </w:r>
    </w:p>
    <w:p w14:paraId="76D3A9AA">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szCs w:val="21"/>
        </w:rPr>
        <w:t>（1）项目名称、政府采购计划编号；</w:t>
      </w:r>
    </w:p>
    <w:p w14:paraId="3BF37F61">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szCs w:val="21"/>
        </w:rPr>
        <w:t>（2）供应商名称；</w:t>
      </w:r>
    </w:p>
    <w:p w14:paraId="3C98CEAC">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szCs w:val="21"/>
        </w:rPr>
        <w:t>（3）响应文件送达时间、地址；</w:t>
      </w:r>
    </w:p>
    <w:p w14:paraId="25045A9D">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szCs w:val="21"/>
        </w:rPr>
        <w:t>（4）响应文件密封情况；</w:t>
      </w:r>
    </w:p>
    <w:p w14:paraId="4B51C926">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szCs w:val="21"/>
        </w:rPr>
        <w:t>（5）采购人、采购代理机构名称；</w:t>
      </w:r>
    </w:p>
    <w:p w14:paraId="09968B2A">
      <w:pPr>
        <w:adjustRightInd w:val="0"/>
        <w:snapToGrid w:val="0"/>
        <w:spacing w:line="360" w:lineRule="auto"/>
        <w:ind w:firstLine="420" w:firstLineChars="200"/>
        <w:outlineLvl w:val="9"/>
        <w:rPr>
          <w:rFonts w:ascii="宋体" w:hAnsi="宋体"/>
          <w:color w:val="auto"/>
          <w:szCs w:val="21"/>
        </w:rPr>
      </w:pPr>
      <w:r>
        <w:rPr>
          <w:rFonts w:hint="eastAsia" w:ascii="宋体" w:hAnsi="宋体"/>
          <w:color w:val="auto"/>
          <w:szCs w:val="21"/>
        </w:rPr>
        <w:t>（6）采购人、采购代理机构接收人签字。</w:t>
      </w:r>
    </w:p>
    <w:p w14:paraId="0B27D9CF">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1</w:t>
      </w:r>
      <w:r>
        <w:rPr>
          <w:rFonts w:hint="eastAsia" w:ascii="宋体" w:hAnsi="宋体" w:cs="Courier New"/>
          <w:color w:val="auto"/>
          <w:szCs w:val="21"/>
          <w:lang w:val="en-US" w:eastAsia="zh-CN"/>
        </w:rPr>
        <w:t>7</w:t>
      </w:r>
      <w:r>
        <w:rPr>
          <w:rFonts w:hint="eastAsia" w:ascii="宋体" w:hAnsi="宋体" w:cs="Courier New"/>
          <w:color w:val="auto"/>
          <w:szCs w:val="21"/>
        </w:rPr>
        <w:t>.3采购人、</w:t>
      </w:r>
      <w:r>
        <w:rPr>
          <w:rFonts w:hint="eastAsia" w:ascii="宋体" w:hAnsi="宋体" w:cs="Courier New"/>
          <w:bCs/>
          <w:color w:val="auto"/>
          <w:szCs w:val="21"/>
        </w:rPr>
        <w:t>采购代理机构</w:t>
      </w:r>
      <w:r>
        <w:rPr>
          <w:rFonts w:hint="eastAsia" w:ascii="宋体" w:hAnsi="宋体" w:cs="Courier New"/>
          <w:color w:val="auto"/>
          <w:szCs w:val="21"/>
        </w:rPr>
        <w:t>在按本章第</w:t>
      </w:r>
      <w:r>
        <w:rPr>
          <w:rFonts w:hint="eastAsia" w:ascii="宋体" w:hAnsi="宋体" w:cs="Courier New"/>
          <w:color w:val="auto"/>
          <w:szCs w:val="21"/>
          <w:highlight w:val="none"/>
        </w:rPr>
        <w:t>2</w:t>
      </w:r>
      <w:r>
        <w:rPr>
          <w:rFonts w:hint="eastAsia" w:ascii="宋体" w:hAnsi="宋体" w:cs="Courier New"/>
          <w:color w:val="auto"/>
          <w:szCs w:val="21"/>
          <w:highlight w:val="none"/>
          <w:lang w:val="en-US" w:eastAsia="zh-CN"/>
        </w:rPr>
        <w:t>5</w:t>
      </w:r>
      <w:r>
        <w:rPr>
          <w:rFonts w:hint="eastAsia" w:ascii="宋体" w:hAnsi="宋体" w:cs="Courier New"/>
          <w:color w:val="auto"/>
          <w:szCs w:val="21"/>
          <w:highlight w:val="none"/>
        </w:rPr>
        <w:t>.3</w:t>
      </w:r>
      <w:r>
        <w:rPr>
          <w:rFonts w:hint="eastAsia" w:ascii="宋体" w:hAnsi="宋体" w:cs="Courier New"/>
          <w:color w:val="auto"/>
          <w:szCs w:val="21"/>
        </w:rPr>
        <w:t>款规定公布供应商的最后报价前，不公开供应商的技术资料、价格和其他信息。</w:t>
      </w:r>
    </w:p>
    <w:p w14:paraId="3B5C7006">
      <w:pPr>
        <w:adjustRightInd w:val="0"/>
        <w:snapToGrid w:val="0"/>
        <w:spacing w:line="360" w:lineRule="auto"/>
        <w:jc w:val="center"/>
        <w:outlineLvl w:val="9"/>
        <w:rPr>
          <w:rFonts w:hint="eastAsia" w:ascii="宋体" w:hAnsi="宋体" w:eastAsia="宋体" w:cs="宋体"/>
          <w:b/>
          <w:bCs/>
          <w:color w:val="auto"/>
          <w:sz w:val="24"/>
          <w:szCs w:val="24"/>
          <w:lang w:eastAsia="zh-CN"/>
        </w:rPr>
      </w:pPr>
      <w:bookmarkStart w:id="82" w:name="_Toc12033"/>
      <w:bookmarkStart w:id="83" w:name="_Toc107997984"/>
      <w:r>
        <w:rPr>
          <w:rFonts w:hint="eastAsia" w:ascii="宋体" w:hAnsi="宋体" w:eastAsia="宋体" w:cs="宋体"/>
          <w:b/>
          <w:bCs/>
          <w:color w:val="auto"/>
          <w:sz w:val="24"/>
          <w:szCs w:val="24"/>
        </w:rPr>
        <w:t>五、响应文件的评审与</w:t>
      </w:r>
      <w:bookmarkEnd w:id="82"/>
      <w:bookmarkEnd w:id="83"/>
      <w:r>
        <w:rPr>
          <w:rFonts w:hint="eastAsia" w:ascii="宋体" w:hAnsi="宋体" w:eastAsia="宋体" w:cs="宋体"/>
          <w:b/>
          <w:bCs/>
          <w:color w:val="auto"/>
          <w:sz w:val="24"/>
          <w:szCs w:val="24"/>
          <w:lang w:eastAsia="zh-CN"/>
        </w:rPr>
        <w:t>磋商</w:t>
      </w:r>
    </w:p>
    <w:p w14:paraId="056EE15B">
      <w:pPr>
        <w:spacing w:line="360" w:lineRule="auto"/>
        <w:outlineLvl w:val="9"/>
        <w:rPr>
          <w:rFonts w:hint="eastAsia" w:ascii="宋体" w:hAnsi="宋体" w:eastAsia="宋体" w:cs="宋体"/>
          <w:b/>
          <w:bCs/>
          <w:color w:val="auto"/>
          <w:sz w:val="22"/>
          <w:szCs w:val="22"/>
          <w:lang w:val="en-US" w:eastAsia="zh-CN"/>
        </w:rPr>
      </w:pPr>
      <w:bookmarkStart w:id="84" w:name="_Toc107997858"/>
      <w:bookmarkStart w:id="85" w:name="_Toc107997985"/>
      <w:r>
        <w:rPr>
          <w:rFonts w:hint="eastAsia" w:ascii="宋体" w:hAnsi="宋体" w:eastAsia="宋体" w:cs="宋体"/>
          <w:b/>
          <w:bCs/>
          <w:color w:val="auto"/>
          <w:sz w:val="22"/>
          <w:szCs w:val="22"/>
          <w:lang w:val="en-US" w:eastAsia="zh-CN"/>
        </w:rPr>
        <w:t>18.</w:t>
      </w:r>
      <w:bookmarkEnd w:id="84"/>
      <w:bookmarkEnd w:id="85"/>
      <w:r>
        <w:rPr>
          <w:rFonts w:hint="eastAsia" w:ascii="宋体" w:hAnsi="宋体" w:eastAsia="宋体" w:cs="宋体"/>
          <w:b/>
          <w:bCs/>
          <w:color w:val="auto"/>
          <w:sz w:val="22"/>
          <w:szCs w:val="22"/>
          <w:lang w:val="en-US" w:eastAsia="zh-CN"/>
        </w:rPr>
        <w:t>供应商的资格证明文件审查</w:t>
      </w:r>
    </w:p>
    <w:p w14:paraId="0E0356F0">
      <w:pPr>
        <w:adjustRightInd w:val="0"/>
        <w:snapToGrid w:val="0"/>
        <w:spacing w:before="156" w:beforeLines="50" w:line="360" w:lineRule="auto"/>
        <w:ind w:firstLine="420" w:firstLineChars="200"/>
        <w:outlineLvl w:val="9"/>
        <w:rPr>
          <w:rFonts w:ascii="宋体" w:hAnsi="宋体" w:eastAsia="宋体"/>
        </w:rPr>
      </w:pPr>
      <w:bookmarkStart w:id="86" w:name="_Toc107997987"/>
      <w:bookmarkStart w:id="87" w:name="_Toc107997860"/>
      <w:r>
        <w:rPr>
          <w:rFonts w:hint="eastAsia" w:ascii="宋体" w:hAnsi="宋体"/>
        </w:rPr>
        <w:t>1</w:t>
      </w:r>
      <w:r>
        <w:rPr>
          <w:rFonts w:hint="eastAsia" w:ascii="宋体" w:hAnsi="宋体"/>
          <w:lang w:val="en-US" w:eastAsia="zh-CN"/>
        </w:rPr>
        <w:t>8</w:t>
      </w:r>
      <w:r>
        <w:rPr>
          <w:rFonts w:hint="eastAsia" w:ascii="宋体" w:hAnsi="宋体"/>
        </w:rPr>
        <w:t>.1</w:t>
      </w:r>
      <w:r>
        <w:rPr>
          <w:rFonts w:hint="eastAsia" w:ascii="宋体" w:hAnsi="宋体" w:eastAsia="宋体"/>
          <w:szCs w:val="21"/>
        </w:rPr>
        <w:t>除</w:t>
      </w:r>
      <w:r>
        <w:rPr>
          <w:rFonts w:hint="eastAsia" w:ascii="宋体" w:hAnsi="宋体"/>
          <w:b/>
          <w:szCs w:val="21"/>
        </w:rPr>
        <w:t>【</w:t>
      </w:r>
      <w:r>
        <w:rPr>
          <w:rFonts w:hint="eastAsia" w:ascii="宋体" w:hAnsi="宋体"/>
          <w:b/>
          <w:szCs w:val="21"/>
          <w:lang w:eastAsia="zh-CN"/>
        </w:rPr>
        <w:t>磋商</w:t>
      </w:r>
      <w:r>
        <w:rPr>
          <w:rFonts w:hint="eastAsia" w:ascii="宋体" w:hAnsi="宋体"/>
          <w:b/>
          <w:szCs w:val="21"/>
        </w:rPr>
        <w:t>须知前附表】</w:t>
      </w:r>
      <w:r>
        <w:rPr>
          <w:rFonts w:hint="eastAsia" w:ascii="宋体" w:hAnsi="宋体" w:eastAsia="宋体"/>
          <w:szCs w:val="21"/>
        </w:rPr>
        <w:t>另有规</w:t>
      </w:r>
      <w:r>
        <w:rPr>
          <w:rFonts w:hint="eastAsia" w:ascii="宋体" w:hAnsi="宋体" w:eastAsia="宋体"/>
        </w:rPr>
        <w:t>定外，</w:t>
      </w:r>
      <w:r>
        <w:rPr>
          <w:rFonts w:hint="eastAsia" w:ascii="宋体" w:hAnsi="宋体" w:eastAsia="宋体"/>
          <w:lang w:eastAsia="zh-CN"/>
        </w:rPr>
        <w:t>供应商</w:t>
      </w:r>
      <w:r>
        <w:rPr>
          <w:rFonts w:hint="eastAsia" w:ascii="宋体" w:hAnsi="宋体" w:eastAsia="宋体"/>
        </w:rPr>
        <w:t>应按下列规定提供资格证明文件。</w:t>
      </w:r>
    </w:p>
    <w:p w14:paraId="0F9DBAB6">
      <w:pPr>
        <w:adjustRightInd w:val="0"/>
        <w:snapToGrid w:val="0"/>
        <w:spacing w:before="156" w:beforeLines="50" w:line="360" w:lineRule="auto"/>
        <w:ind w:firstLine="420" w:firstLineChars="200"/>
        <w:outlineLvl w:val="9"/>
        <w:rPr>
          <w:rFonts w:ascii="宋体" w:hAnsi="宋体"/>
        </w:rPr>
      </w:pPr>
      <w:r>
        <w:rPr>
          <w:rFonts w:hint="eastAsia" w:ascii="宋体" w:hAnsi="宋体"/>
        </w:rPr>
        <w:t>（1）</w:t>
      </w:r>
      <w:r>
        <w:rPr>
          <w:rFonts w:hint="eastAsia" w:ascii="宋体" w:hAnsi="宋体"/>
          <w:b/>
        </w:rPr>
        <w:t>法人或者其他组织的营业执照等主体资格证明文件，自然人的身份证明</w:t>
      </w:r>
      <w:r>
        <w:rPr>
          <w:rFonts w:hint="eastAsia" w:ascii="宋体" w:hAnsi="宋体"/>
        </w:rPr>
        <w:t>：</w:t>
      </w:r>
      <w:r>
        <w:rPr>
          <w:rFonts w:hint="eastAsia" w:ascii="宋体" w:hAnsi="宋体"/>
          <w:lang w:eastAsia="zh-CN"/>
        </w:rPr>
        <w:t>供应商</w:t>
      </w:r>
      <w:r>
        <w:rPr>
          <w:rFonts w:hint="eastAsia" w:ascii="宋体" w:hAnsi="宋体"/>
        </w:rPr>
        <w:t>为法人的，应提交营业执照或法人登记证书的复印件；</w:t>
      </w:r>
      <w:r>
        <w:rPr>
          <w:rFonts w:hint="eastAsia" w:ascii="宋体" w:hAnsi="宋体"/>
          <w:lang w:eastAsia="zh-CN"/>
        </w:rPr>
        <w:t>供应商</w:t>
      </w:r>
      <w:r>
        <w:rPr>
          <w:rFonts w:hint="eastAsia" w:ascii="宋体" w:hAnsi="宋体"/>
        </w:rPr>
        <w:t>为非法人组织的，应提交依法登记证书复印件；</w:t>
      </w:r>
      <w:r>
        <w:rPr>
          <w:rFonts w:hint="eastAsia" w:ascii="宋体" w:hAnsi="宋体"/>
          <w:lang w:eastAsia="zh-CN"/>
        </w:rPr>
        <w:t>供应商</w:t>
      </w:r>
      <w:r>
        <w:rPr>
          <w:rFonts w:hint="eastAsia" w:ascii="宋体" w:hAnsi="宋体"/>
        </w:rPr>
        <w:t>为个体工商户的，应提交个体工商户营业执照复印件；</w:t>
      </w:r>
      <w:r>
        <w:rPr>
          <w:rFonts w:hint="eastAsia" w:ascii="宋体" w:hAnsi="宋体"/>
          <w:lang w:eastAsia="zh-CN"/>
        </w:rPr>
        <w:t>供应商</w:t>
      </w:r>
      <w:r>
        <w:rPr>
          <w:rFonts w:hint="eastAsia" w:ascii="宋体" w:hAnsi="宋体"/>
        </w:rPr>
        <w:t>为自然人的，应提交自然人的身份证明复印件。</w:t>
      </w:r>
    </w:p>
    <w:p w14:paraId="4A62BC5E">
      <w:pPr>
        <w:adjustRightInd w:val="0"/>
        <w:snapToGrid w:val="0"/>
        <w:spacing w:before="156" w:beforeLines="50" w:line="360" w:lineRule="auto"/>
        <w:ind w:firstLine="420" w:firstLineChars="200"/>
        <w:outlineLvl w:val="9"/>
        <w:rPr>
          <w:rFonts w:hint="eastAsia" w:ascii="宋体" w:hAnsi="宋体"/>
          <w:highlight w:val="none"/>
        </w:rPr>
      </w:pPr>
      <w:r>
        <w:rPr>
          <w:rFonts w:hint="eastAsia" w:ascii="宋体" w:hAnsi="宋体"/>
          <w:highlight w:val="none"/>
        </w:rPr>
        <w:t>（2）湖南省政府采购供应商资格承诺函(格式)</w:t>
      </w:r>
    </w:p>
    <w:p w14:paraId="6999AB1A">
      <w:pPr>
        <w:adjustRightInd w:val="0"/>
        <w:snapToGrid w:val="0"/>
        <w:spacing w:before="156" w:beforeLines="50" w:line="360" w:lineRule="auto"/>
        <w:ind w:firstLine="420" w:firstLineChars="200"/>
        <w:outlineLvl w:val="9"/>
        <w:rPr>
          <w:rFonts w:hint="eastAsia" w:ascii="宋体" w:hAnsi="宋体"/>
          <w:highlight w:val="none"/>
        </w:rPr>
      </w:pPr>
      <w:r>
        <w:rPr>
          <w:rFonts w:hint="eastAsia" w:ascii="宋体" w:hAnsi="宋体"/>
          <w:highlight w:val="none"/>
        </w:rPr>
        <w:t>（</w:t>
      </w:r>
      <w:r>
        <w:rPr>
          <w:rFonts w:hint="eastAsia" w:ascii="宋体" w:hAnsi="宋体"/>
          <w:highlight w:val="none"/>
          <w:lang w:val="en-US" w:eastAsia="zh-CN"/>
        </w:rPr>
        <w:t>3</w:t>
      </w:r>
      <w:r>
        <w:rPr>
          <w:rFonts w:hint="eastAsia" w:ascii="宋体" w:hAnsi="宋体"/>
          <w:highlight w:val="none"/>
        </w:rPr>
        <w:t>）符合特定资格条件证明材料复印件或者情况说明。</w:t>
      </w:r>
    </w:p>
    <w:p w14:paraId="4BEB93F8">
      <w:pPr>
        <w:adjustRightInd w:val="0"/>
        <w:snapToGrid w:val="0"/>
        <w:spacing w:before="156" w:beforeLines="50" w:line="360" w:lineRule="auto"/>
        <w:ind w:firstLine="420" w:firstLineChars="200"/>
        <w:outlineLvl w:val="9"/>
        <w:rPr>
          <w:rFonts w:ascii="宋体" w:hAnsi="宋体"/>
        </w:rPr>
      </w:pPr>
      <w:r>
        <w:rPr>
          <w:rFonts w:hint="eastAsia" w:ascii="宋体" w:hAnsi="宋体"/>
        </w:rPr>
        <w:t>1</w:t>
      </w:r>
      <w:r>
        <w:rPr>
          <w:rFonts w:hint="eastAsia" w:ascii="宋体" w:hAnsi="宋体"/>
          <w:lang w:val="en-US" w:eastAsia="zh-CN"/>
        </w:rPr>
        <w:t>8</w:t>
      </w:r>
      <w:r>
        <w:rPr>
          <w:rFonts w:hint="eastAsia" w:ascii="宋体" w:hAnsi="宋体"/>
        </w:rPr>
        <w:t>.2</w:t>
      </w:r>
      <w:r>
        <w:rPr>
          <w:rFonts w:hint="eastAsia" w:ascii="宋体" w:hAnsi="宋体"/>
          <w:lang w:eastAsia="zh-CN"/>
        </w:rPr>
        <w:t>供应商</w:t>
      </w:r>
      <w:r>
        <w:rPr>
          <w:rFonts w:hint="eastAsia" w:ascii="宋体" w:hAnsi="宋体"/>
        </w:rPr>
        <w:t>人以联合体形式</w:t>
      </w:r>
      <w:r>
        <w:rPr>
          <w:rFonts w:hint="eastAsia" w:ascii="宋体" w:hAnsi="宋体"/>
          <w:lang w:eastAsia="zh-CN"/>
        </w:rPr>
        <w:t>参加采购活动</w:t>
      </w:r>
      <w:r>
        <w:rPr>
          <w:rFonts w:hint="eastAsia" w:ascii="宋体" w:hAnsi="宋体"/>
        </w:rPr>
        <w:t>的，除应提交联合协议(格式)外，参加联合体的各方均应提交上款资格证明材料。</w:t>
      </w:r>
    </w:p>
    <w:p w14:paraId="2DDF7EA1">
      <w:pPr>
        <w:adjustRightInd w:val="0"/>
        <w:snapToGrid w:val="0"/>
        <w:spacing w:before="156" w:beforeLines="50" w:line="360" w:lineRule="auto"/>
        <w:ind w:firstLine="420" w:firstLineChars="200"/>
        <w:jc w:val="left"/>
        <w:outlineLvl w:val="9"/>
        <w:rPr>
          <w:rFonts w:hint="eastAsia" w:ascii="宋体" w:hAnsi="宋体"/>
        </w:rPr>
      </w:pPr>
      <w:r>
        <w:rPr>
          <w:rFonts w:hint="eastAsia" w:ascii="宋体" w:hAnsi="宋体"/>
        </w:rPr>
        <w:t>1</w:t>
      </w:r>
      <w:r>
        <w:rPr>
          <w:rFonts w:hint="eastAsia" w:ascii="宋体" w:hAnsi="宋体"/>
          <w:lang w:val="en-US" w:eastAsia="zh-CN"/>
        </w:rPr>
        <w:t>8</w:t>
      </w:r>
      <w:r>
        <w:rPr>
          <w:rFonts w:hint="eastAsia" w:ascii="宋体" w:hAnsi="宋体"/>
        </w:rPr>
        <w:t>.3</w:t>
      </w:r>
      <w:r>
        <w:rPr>
          <w:rFonts w:hint="eastAsia" w:ascii="宋体" w:hAnsi="宋体"/>
          <w:lang w:eastAsia="zh-CN"/>
        </w:rPr>
        <w:t>供应商</w:t>
      </w:r>
      <w:r>
        <w:rPr>
          <w:rFonts w:hint="eastAsia" w:ascii="宋体" w:hAnsi="宋体"/>
        </w:rPr>
        <w:t>的资格证明文件均应为有效文件并加盖</w:t>
      </w:r>
      <w:r>
        <w:rPr>
          <w:rFonts w:hint="eastAsia" w:ascii="宋体" w:hAnsi="宋体"/>
          <w:lang w:eastAsia="zh-CN"/>
        </w:rPr>
        <w:t>供应商</w:t>
      </w:r>
      <w:r>
        <w:rPr>
          <w:rFonts w:hint="eastAsia" w:ascii="宋体" w:hAnsi="宋体"/>
        </w:rPr>
        <w:t>单位章，并按</w:t>
      </w:r>
      <w:r>
        <w:rPr>
          <w:rFonts w:hint="eastAsia" w:ascii="宋体" w:hAnsi="宋体"/>
          <w:lang w:eastAsia="zh-CN"/>
        </w:rPr>
        <w:t>磋商</w:t>
      </w:r>
      <w:r>
        <w:rPr>
          <w:rFonts w:hint="eastAsia" w:ascii="宋体" w:hAnsi="宋体"/>
        </w:rPr>
        <w:t>文件规定签署。</w:t>
      </w:r>
    </w:p>
    <w:p w14:paraId="5349809A">
      <w:pPr>
        <w:adjustRightInd w:val="0"/>
        <w:snapToGrid w:val="0"/>
        <w:spacing w:before="156" w:beforeLines="50" w:line="360" w:lineRule="auto"/>
        <w:ind w:firstLine="420" w:firstLineChars="200"/>
        <w:jc w:val="left"/>
        <w:outlineLvl w:val="9"/>
        <w:rPr>
          <w:rFonts w:ascii="宋体" w:hAnsi="宋体" w:eastAsia="宋体"/>
          <w:color w:val="auto"/>
          <w:szCs w:val="21"/>
        </w:rPr>
      </w:pPr>
      <w:r>
        <w:rPr>
          <w:rFonts w:hint="eastAsia" w:ascii="宋体" w:hAnsi="宋体" w:eastAsia="宋体"/>
          <w:color w:val="auto"/>
          <w:lang w:val="en-US" w:eastAsia="zh-CN"/>
        </w:rPr>
        <w:t>18.4采购人、采购代理机构依据法律法规和磋商文件的规定，</w:t>
      </w:r>
      <w:r>
        <w:rPr>
          <w:rFonts w:hint="eastAsia" w:ascii="宋体" w:hAnsi="宋体" w:eastAsia="宋体"/>
          <w:color w:val="auto"/>
          <w:szCs w:val="21"/>
          <w:lang w:eastAsia="zh-CN"/>
        </w:rPr>
        <w:t>对供应商</w:t>
      </w:r>
      <w:r>
        <w:rPr>
          <w:rFonts w:hint="eastAsia" w:ascii="宋体" w:hAnsi="宋体" w:eastAsia="宋体"/>
          <w:color w:val="auto"/>
          <w:szCs w:val="21"/>
        </w:rPr>
        <w:t>资格</w:t>
      </w:r>
      <w:r>
        <w:rPr>
          <w:rFonts w:hint="eastAsia" w:ascii="宋体" w:hAnsi="宋体"/>
        </w:rPr>
        <w:t>证明文件</w:t>
      </w:r>
      <w:r>
        <w:rPr>
          <w:rFonts w:hint="eastAsia" w:ascii="宋体" w:hAnsi="宋体" w:eastAsia="宋体"/>
          <w:color w:val="auto"/>
          <w:szCs w:val="21"/>
        </w:rPr>
        <w:t>进行审查，以确定</w:t>
      </w:r>
      <w:r>
        <w:rPr>
          <w:rFonts w:hint="eastAsia" w:ascii="宋体" w:hAnsi="宋体" w:eastAsia="宋体"/>
          <w:color w:val="auto"/>
          <w:szCs w:val="21"/>
          <w:lang w:eastAsia="zh-CN"/>
        </w:rPr>
        <w:t>供应商</w:t>
      </w:r>
      <w:r>
        <w:rPr>
          <w:rFonts w:hint="eastAsia" w:ascii="宋体" w:hAnsi="宋体" w:eastAsia="宋体"/>
          <w:color w:val="auto"/>
          <w:szCs w:val="21"/>
        </w:rPr>
        <w:t>是否</w:t>
      </w:r>
      <w:r>
        <w:rPr>
          <w:rFonts w:hint="eastAsia" w:ascii="宋体" w:hAnsi="宋体" w:eastAsia="宋体"/>
          <w:color w:val="auto"/>
          <w:szCs w:val="21"/>
          <w:lang w:eastAsia="zh-CN"/>
        </w:rPr>
        <w:t>通过</w:t>
      </w:r>
      <w:r>
        <w:rPr>
          <w:rFonts w:hint="eastAsia" w:ascii="宋体" w:hAnsi="宋体" w:eastAsia="宋体"/>
          <w:color w:val="auto"/>
          <w:szCs w:val="21"/>
        </w:rPr>
        <w:t>资格</w:t>
      </w:r>
      <w:r>
        <w:rPr>
          <w:rFonts w:hint="eastAsia" w:ascii="宋体" w:hAnsi="宋体" w:eastAsia="宋体"/>
          <w:color w:val="auto"/>
          <w:szCs w:val="21"/>
          <w:lang w:eastAsia="zh-CN"/>
        </w:rPr>
        <w:t>审查</w:t>
      </w:r>
      <w:r>
        <w:rPr>
          <w:rFonts w:hint="eastAsia" w:ascii="宋体" w:hAnsi="宋体" w:eastAsia="宋体"/>
          <w:color w:val="auto"/>
          <w:szCs w:val="21"/>
        </w:rPr>
        <w:t>。</w:t>
      </w:r>
    </w:p>
    <w:p w14:paraId="7264467A">
      <w:pPr>
        <w:adjustRightInd w:val="0"/>
        <w:snapToGrid w:val="0"/>
        <w:spacing w:before="156" w:beforeLines="50" w:line="360" w:lineRule="auto"/>
        <w:ind w:firstLine="420" w:firstLineChars="200"/>
        <w:jc w:val="left"/>
        <w:outlineLvl w:val="9"/>
        <w:rPr>
          <w:rFonts w:hint="eastAsia" w:ascii="宋体" w:hAnsi="宋体" w:eastAsia="宋体"/>
          <w:szCs w:val="21"/>
          <w:lang w:eastAsia="zh-CN"/>
        </w:rPr>
      </w:pPr>
      <w:r>
        <w:rPr>
          <w:rFonts w:hint="eastAsia" w:ascii="宋体" w:hAnsi="宋体" w:eastAsia="宋体"/>
          <w:szCs w:val="21"/>
          <w:lang w:val="en-US" w:eastAsia="zh-CN"/>
        </w:rPr>
        <w:t>18.5</w:t>
      </w:r>
      <w:r>
        <w:rPr>
          <w:rFonts w:hint="eastAsia" w:ascii="宋体" w:hAnsi="宋体" w:eastAsia="宋体"/>
          <w:szCs w:val="21"/>
        </w:rPr>
        <w:t>在资格审查时，</w:t>
      </w:r>
      <w:r>
        <w:rPr>
          <w:rFonts w:hint="eastAsia" w:ascii="宋体" w:hAnsi="宋体" w:eastAsia="宋体"/>
          <w:szCs w:val="21"/>
          <w:lang w:eastAsia="zh-CN"/>
        </w:rPr>
        <w:t>供应商</w:t>
      </w:r>
      <w:r>
        <w:rPr>
          <w:rFonts w:hint="eastAsia" w:ascii="宋体" w:hAnsi="宋体" w:eastAsia="宋体"/>
          <w:szCs w:val="21"/>
        </w:rPr>
        <w:t>存在下列情况之一的，</w:t>
      </w:r>
      <w:r>
        <w:rPr>
          <w:rFonts w:hint="eastAsia" w:ascii="宋体" w:hAnsi="宋体" w:eastAsia="宋体"/>
          <w:szCs w:val="21"/>
          <w:lang w:eastAsia="zh-CN"/>
        </w:rPr>
        <w:t>响应文件按无效处理，</w:t>
      </w:r>
      <w:r>
        <w:rPr>
          <w:rFonts w:hint="eastAsia" w:ascii="宋体" w:hAnsi="宋体" w:eastAsia="宋体"/>
          <w:szCs w:val="21"/>
        </w:rPr>
        <w:t>采购人、采购代理机构应当告知</w:t>
      </w:r>
      <w:r>
        <w:rPr>
          <w:rFonts w:hint="eastAsia" w:ascii="宋体" w:hAnsi="宋体" w:eastAsia="宋体"/>
          <w:szCs w:val="21"/>
          <w:lang w:eastAsia="zh-CN"/>
        </w:rPr>
        <w:t>有关供应商。</w:t>
      </w:r>
    </w:p>
    <w:p w14:paraId="3C9BCEC7">
      <w:pPr>
        <w:adjustRightInd w:val="0"/>
        <w:snapToGrid w:val="0"/>
        <w:spacing w:before="156" w:beforeLines="50" w:line="360" w:lineRule="auto"/>
        <w:ind w:firstLine="420" w:firstLineChars="200"/>
        <w:jc w:val="left"/>
        <w:outlineLvl w:val="9"/>
        <w:rPr>
          <w:rFonts w:ascii="宋体" w:hAnsi="宋体" w:eastAsia="宋体"/>
          <w:szCs w:val="21"/>
        </w:rPr>
      </w:pPr>
      <w:r>
        <w:rPr>
          <w:rFonts w:hint="eastAsia" w:ascii="宋体" w:hAnsi="宋体" w:eastAsia="宋体"/>
          <w:szCs w:val="21"/>
        </w:rPr>
        <w:t>（1）不具备</w:t>
      </w:r>
      <w:r>
        <w:rPr>
          <w:rFonts w:hint="eastAsia" w:ascii="宋体" w:hAnsi="宋体" w:eastAsia="宋体"/>
          <w:szCs w:val="21"/>
          <w:lang w:eastAsia="zh-CN"/>
        </w:rPr>
        <w:t>磋商</w:t>
      </w:r>
      <w:r>
        <w:rPr>
          <w:rFonts w:hint="eastAsia" w:ascii="宋体" w:hAnsi="宋体" w:eastAsia="宋体"/>
          <w:szCs w:val="21"/>
        </w:rPr>
        <w:t>文件中规定的资格要求的，或提交的资格证明文件不符合</w:t>
      </w:r>
      <w:r>
        <w:rPr>
          <w:rFonts w:hint="eastAsia" w:ascii="宋体" w:hAnsi="宋体" w:eastAsia="宋体"/>
          <w:szCs w:val="21"/>
          <w:lang w:eastAsia="zh-CN"/>
        </w:rPr>
        <w:t>磋商</w:t>
      </w:r>
      <w:r>
        <w:rPr>
          <w:rFonts w:hint="eastAsia" w:ascii="宋体" w:hAnsi="宋体" w:eastAsia="宋体"/>
          <w:szCs w:val="21"/>
        </w:rPr>
        <w:t>文件要求的；</w:t>
      </w:r>
    </w:p>
    <w:p w14:paraId="08A68824">
      <w:pPr>
        <w:adjustRightInd w:val="0"/>
        <w:snapToGrid w:val="0"/>
        <w:spacing w:before="156" w:beforeLines="50" w:line="360" w:lineRule="auto"/>
        <w:ind w:firstLine="420" w:firstLineChars="200"/>
        <w:jc w:val="left"/>
        <w:outlineLvl w:val="9"/>
        <w:rPr>
          <w:rFonts w:ascii="宋体" w:hAnsi="宋体" w:eastAsia="宋体"/>
          <w:szCs w:val="21"/>
        </w:rPr>
      </w:pPr>
      <w:r>
        <w:rPr>
          <w:rFonts w:hint="eastAsia" w:ascii="宋体" w:hAnsi="宋体" w:eastAsia="宋体"/>
          <w:szCs w:val="21"/>
        </w:rPr>
        <w:t>（2）联合体未提交联合体协议书，或未提交联合体各方资格证明文件的；</w:t>
      </w:r>
    </w:p>
    <w:p w14:paraId="130CEF3E">
      <w:pPr>
        <w:adjustRightInd w:val="0"/>
        <w:snapToGrid w:val="0"/>
        <w:spacing w:before="156" w:beforeLines="50" w:line="360" w:lineRule="auto"/>
        <w:ind w:firstLine="420" w:firstLineChars="200"/>
        <w:jc w:val="left"/>
        <w:outlineLvl w:val="9"/>
        <w:rPr>
          <w:rFonts w:ascii="宋体" w:hAnsi="宋体" w:eastAsia="宋体"/>
          <w:szCs w:val="21"/>
        </w:rPr>
      </w:pPr>
      <w:r>
        <w:rPr>
          <w:rFonts w:hint="eastAsia" w:ascii="宋体" w:hAnsi="宋体" w:eastAsia="宋体"/>
          <w:szCs w:val="21"/>
        </w:rPr>
        <w:t>（3）</w:t>
      </w:r>
      <w:r>
        <w:rPr>
          <w:rFonts w:hint="eastAsia" w:ascii="宋体" w:hAnsi="宋体" w:eastAsia="宋体"/>
          <w:szCs w:val="21"/>
          <w:lang w:eastAsia="zh-CN"/>
        </w:rPr>
        <w:t>响应</w:t>
      </w:r>
      <w:r>
        <w:rPr>
          <w:rFonts w:hint="eastAsia" w:ascii="宋体" w:hAnsi="宋体" w:eastAsia="宋体"/>
          <w:szCs w:val="21"/>
        </w:rPr>
        <w:t>文件的资格证明文件未按照</w:t>
      </w:r>
      <w:r>
        <w:rPr>
          <w:rFonts w:hint="eastAsia" w:ascii="宋体" w:hAnsi="宋体" w:eastAsia="宋体"/>
          <w:szCs w:val="21"/>
          <w:lang w:eastAsia="zh-CN"/>
        </w:rPr>
        <w:t>磋商</w:t>
      </w:r>
      <w:r>
        <w:rPr>
          <w:rFonts w:hint="eastAsia" w:ascii="宋体" w:hAnsi="宋体" w:eastAsia="宋体"/>
          <w:szCs w:val="21"/>
        </w:rPr>
        <w:t>文件要求签署、盖章的；</w:t>
      </w:r>
    </w:p>
    <w:p w14:paraId="617B852B">
      <w:pPr>
        <w:adjustRightInd w:val="0"/>
        <w:snapToGrid w:val="0"/>
        <w:spacing w:before="156" w:beforeLines="50" w:line="360" w:lineRule="auto"/>
        <w:ind w:firstLine="420" w:firstLineChars="200"/>
        <w:jc w:val="left"/>
        <w:outlineLvl w:val="9"/>
        <w:rPr>
          <w:rFonts w:hint="eastAsia" w:ascii="宋体" w:hAnsi="宋体" w:eastAsia="宋体"/>
          <w:szCs w:val="21"/>
          <w:lang w:eastAsia="zh-CN"/>
        </w:rPr>
      </w:pPr>
      <w:r>
        <w:rPr>
          <w:rFonts w:hint="eastAsia" w:ascii="宋体" w:hAnsi="宋体" w:eastAsia="宋体"/>
          <w:szCs w:val="21"/>
        </w:rPr>
        <w:t>（4）未按照</w:t>
      </w:r>
      <w:r>
        <w:rPr>
          <w:rFonts w:hint="eastAsia" w:ascii="宋体" w:hAnsi="宋体" w:eastAsia="宋体"/>
          <w:szCs w:val="21"/>
          <w:lang w:eastAsia="zh-CN"/>
        </w:rPr>
        <w:t>磋商</w:t>
      </w:r>
      <w:r>
        <w:rPr>
          <w:rFonts w:hint="eastAsia" w:ascii="宋体" w:hAnsi="宋体" w:eastAsia="宋体"/>
          <w:szCs w:val="21"/>
        </w:rPr>
        <w:t>文件的规定提交</w:t>
      </w:r>
      <w:r>
        <w:rPr>
          <w:rFonts w:hint="eastAsia" w:ascii="宋体" w:hAnsi="宋体" w:eastAsia="宋体"/>
          <w:szCs w:val="21"/>
          <w:highlight w:val="none"/>
          <w:lang w:val="en-US" w:eastAsia="zh-CN"/>
        </w:rPr>
        <w:t>保证金</w:t>
      </w:r>
      <w:r>
        <w:rPr>
          <w:rFonts w:hint="eastAsia" w:ascii="宋体" w:hAnsi="宋体" w:eastAsia="宋体"/>
          <w:szCs w:val="21"/>
        </w:rPr>
        <w:t>的</w:t>
      </w:r>
      <w:r>
        <w:rPr>
          <w:rFonts w:hint="eastAsia" w:ascii="宋体" w:hAnsi="宋体" w:eastAsia="宋体"/>
          <w:szCs w:val="21"/>
          <w:lang w:eastAsia="zh-CN"/>
        </w:rPr>
        <w:t>；</w:t>
      </w:r>
    </w:p>
    <w:p w14:paraId="1847CCC0">
      <w:pPr>
        <w:adjustRightInd w:val="0"/>
        <w:snapToGrid w:val="0"/>
        <w:spacing w:before="156" w:beforeLines="50" w:line="360" w:lineRule="auto"/>
        <w:ind w:firstLine="420" w:firstLineChars="200"/>
        <w:outlineLvl w:val="9"/>
        <w:rPr>
          <w:rFonts w:hint="eastAsia" w:ascii="宋体" w:hAnsi="宋体" w:eastAsia="宋体"/>
          <w:highlight w:val="none"/>
          <w:lang w:eastAsia="zh-CN"/>
        </w:rPr>
      </w:pPr>
      <w:r>
        <w:rPr>
          <w:rFonts w:hint="eastAsia" w:ascii="宋体" w:hAnsi="宋体" w:eastAsia="宋体"/>
          <w:szCs w:val="21"/>
        </w:rPr>
        <w:t>（</w:t>
      </w:r>
      <w:r>
        <w:rPr>
          <w:rFonts w:hint="eastAsia" w:ascii="宋体" w:hAnsi="宋体" w:eastAsia="宋体"/>
          <w:szCs w:val="21"/>
          <w:lang w:val="en-US" w:eastAsia="zh-CN"/>
        </w:rPr>
        <w:t>5</w:t>
      </w:r>
      <w:r>
        <w:rPr>
          <w:rFonts w:hint="eastAsia" w:ascii="宋体" w:hAnsi="宋体" w:eastAsia="宋体"/>
          <w:szCs w:val="21"/>
        </w:rPr>
        <w:t>）未按照</w:t>
      </w:r>
      <w:r>
        <w:rPr>
          <w:rFonts w:hint="eastAsia" w:ascii="宋体" w:hAnsi="宋体" w:eastAsia="宋体"/>
          <w:szCs w:val="21"/>
          <w:lang w:eastAsia="zh-CN"/>
        </w:rPr>
        <w:t>磋商</w:t>
      </w:r>
      <w:r>
        <w:rPr>
          <w:rFonts w:hint="eastAsia" w:ascii="宋体" w:hAnsi="宋体" w:eastAsia="宋体"/>
          <w:szCs w:val="21"/>
        </w:rPr>
        <w:t>文件的规定提交</w:t>
      </w:r>
      <w:r>
        <w:rPr>
          <w:rFonts w:hint="eastAsia" w:ascii="宋体" w:hAnsi="宋体"/>
          <w:highlight w:val="none"/>
        </w:rPr>
        <w:t>湖南省政府采购供应商资格承诺函</w:t>
      </w:r>
      <w:r>
        <w:rPr>
          <w:rFonts w:hint="eastAsia" w:ascii="宋体" w:hAnsi="宋体"/>
          <w:highlight w:val="none"/>
          <w:lang w:eastAsia="zh-CN"/>
        </w:rPr>
        <w:t>的；</w:t>
      </w:r>
    </w:p>
    <w:p w14:paraId="0B918B03">
      <w:pPr>
        <w:adjustRightInd w:val="0"/>
        <w:snapToGrid w:val="0"/>
        <w:spacing w:before="156" w:beforeLines="50" w:line="360" w:lineRule="auto"/>
        <w:ind w:firstLine="420" w:firstLineChars="200"/>
        <w:jc w:val="left"/>
        <w:outlineLvl w:val="9"/>
        <w:rPr>
          <w:rFonts w:hint="eastAsia" w:ascii="宋体" w:hAnsi="宋体" w:eastAsia="宋体" w:cs="宋体"/>
          <w:color w:val="FF0000"/>
          <w:sz w:val="21"/>
          <w:szCs w:val="21"/>
          <w:lang w:eastAsia="zh-CN"/>
        </w:rPr>
      </w:pPr>
      <w:r>
        <w:rPr>
          <w:rFonts w:hint="eastAsia" w:ascii="宋体" w:hAnsi="宋体" w:eastAsia="宋体"/>
          <w:szCs w:val="21"/>
          <w:lang w:eastAsia="zh-CN"/>
        </w:rPr>
        <w:t>（</w:t>
      </w:r>
      <w:r>
        <w:rPr>
          <w:rFonts w:hint="eastAsia" w:ascii="宋体" w:hAnsi="宋体" w:eastAsia="宋体"/>
          <w:szCs w:val="21"/>
          <w:lang w:val="en-US" w:eastAsia="zh-CN"/>
        </w:rPr>
        <w:t>6</w:t>
      </w:r>
      <w:r>
        <w:rPr>
          <w:rFonts w:hint="eastAsia" w:ascii="宋体" w:hAnsi="宋体" w:eastAsia="宋体"/>
          <w:szCs w:val="21"/>
          <w:lang w:eastAsia="zh-CN"/>
        </w:rPr>
        <w:t>）</w:t>
      </w:r>
      <w:r>
        <w:rPr>
          <w:rFonts w:hint="eastAsia" w:ascii="宋体" w:hAnsi="宋体" w:eastAsia="宋体"/>
          <w:szCs w:val="21"/>
        </w:rPr>
        <w:t>法律、法规和</w:t>
      </w:r>
      <w:r>
        <w:rPr>
          <w:rFonts w:hint="eastAsia" w:ascii="宋体" w:hAnsi="宋体" w:eastAsia="宋体"/>
          <w:szCs w:val="21"/>
          <w:lang w:eastAsia="zh-CN"/>
        </w:rPr>
        <w:t>磋商</w:t>
      </w:r>
      <w:r>
        <w:rPr>
          <w:rFonts w:hint="eastAsia" w:ascii="宋体" w:hAnsi="宋体" w:eastAsia="宋体"/>
          <w:szCs w:val="21"/>
        </w:rPr>
        <w:t>文件规定的其他</w:t>
      </w:r>
      <w:r>
        <w:rPr>
          <w:rFonts w:hint="eastAsia" w:ascii="宋体" w:hAnsi="宋体" w:eastAsia="宋体"/>
          <w:szCs w:val="21"/>
          <w:lang w:eastAsia="zh-CN"/>
        </w:rPr>
        <w:t>响应</w:t>
      </w:r>
      <w:r>
        <w:rPr>
          <w:rFonts w:hint="eastAsia" w:ascii="宋体" w:hAnsi="宋体" w:eastAsia="宋体"/>
          <w:szCs w:val="21"/>
        </w:rPr>
        <w:t>无效情形的。</w:t>
      </w:r>
    </w:p>
    <w:p w14:paraId="4E724987">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19.磋商小组</w:t>
      </w:r>
      <w:bookmarkEnd w:id="86"/>
      <w:bookmarkEnd w:id="87"/>
    </w:p>
    <w:p w14:paraId="45AACE5D">
      <w:pPr>
        <w:adjustRightInd w:val="0"/>
        <w:snapToGrid w:val="0"/>
        <w:spacing w:line="360" w:lineRule="auto"/>
        <w:ind w:firstLine="420"/>
        <w:jc w:val="left"/>
        <w:outlineLvl w:val="9"/>
        <w:rPr>
          <w:rFonts w:ascii="宋体" w:hAnsi="宋体"/>
          <w:bCs/>
          <w:color w:val="auto"/>
          <w:szCs w:val="21"/>
          <w:highlight w:val="none"/>
        </w:rPr>
      </w:pPr>
      <w:r>
        <w:rPr>
          <w:rFonts w:hint="eastAsia" w:ascii="宋体" w:hAnsi="宋体"/>
          <w:bCs/>
          <w:color w:val="auto"/>
          <w:szCs w:val="21"/>
          <w:highlight w:val="none"/>
          <w:lang w:val="en-US" w:eastAsia="zh-CN"/>
        </w:rPr>
        <w:t>19</w:t>
      </w:r>
      <w:r>
        <w:rPr>
          <w:rFonts w:hint="eastAsia" w:ascii="宋体" w:hAnsi="宋体"/>
          <w:bCs/>
          <w:color w:val="auto"/>
          <w:szCs w:val="21"/>
          <w:highlight w:val="none"/>
        </w:rPr>
        <w:t>.1</w:t>
      </w:r>
      <w:r>
        <w:rPr>
          <w:rFonts w:hint="eastAsia" w:ascii="宋体" w:hAnsi="宋体"/>
          <w:bCs/>
          <w:color w:val="auto"/>
          <w:szCs w:val="21"/>
          <w:highlight w:val="none"/>
          <w:lang w:eastAsia="zh-CN"/>
        </w:rPr>
        <w:t>磋商</w:t>
      </w:r>
      <w:r>
        <w:rPr>
          <w:rFonts w:hint="eastAsia" w:ascii="宋体" w:hAnsi="宋体"/>
          <w:bCs/>
          <w:color w:val="auto"/>
          <w:szCs w:val="21"/>
          <w:highlight w:val="none"/>
        </w:rPr>
        <w:t>小组由采购人代表和评审专家组成。</w:t>
      </w:r>
    </w:p>
    <w:p w14:paraId="1B63AE76">
      <w:pPr>
        <w:adjustRightInd w:val="0"/>
        <w:snapToGrid w:val="0"/>
        <w:spacing w:line="360" w:lineRule="auto"/>
        <w:ind w:firstLine="420"/>
        <w:jc w:val="left"/>
        <w:outlineLvl w:val="9"/>
        <w:rPr>
          <w:rFonts w:ascii="宋体" w:hAnsi="宋体"/>
          <w:color w:val="auto"/>
          <w:szCs w:val="21"/>
        </w:rPr>
      </w:pPr>
      <w:r>
        <w:rPr>
          <w:rFonts w:hint="eastAsia" w:ascii="宋体" w:hAnsi="宋体"/>
          <w:bCs/>
          <w:color w:val="auto"/>
          <w:szCs w:val="21"/>
          <w:lang w:val="en-US" w:eastAsia="zh-CN"/>
        </w:rPr>
        <w:t>19</w:t>
      </w:r>
      <w:r>
        <w:rPr>
          <w:rFonts w:hint="eastAsia" w:ascii="宋体" w:hAnsi="宋体"/>
          <w:bCs/>
          <w:color w:val="auto"/>
          <w:szCs w:val="21"/>
        </w:rPr>
        <w:t>.2</w:t>
      </w:r>
      <w:r>
        <w:rPr>
          <w:rFonts w:hint="eastAsia" w:ascii="宋体" w:hAnsi="宋体"/>
          <w:bCs/>
          <w:color w:val="auto"/>
          <w:szCs w:val="21"/>
          <w:lang w:eastAsia="zh-CN"/>
        </w:rPr>
        <w:t>磋商</w:t>
      </w:r>
      <w:r>
        <w:rPr>
          <w:rFonts w:hint="eastAsia" w:ascii="宋体" w:hAnsi="宋体"/>
          <w:bCs/>
          <w:color w:val="auto"/>
          <w:szCs w:val="21"/>
        </w:rPr>
        <w:t>小组</w:t>
      </w:r>
      <w:r>
        <w:rPr>
          <w:rFonts w:ascii="宋体" w:hAnsi="宋体"/>
          <w:color w:val="auto"/>
          <w:szCs w:val="21"/>
        </w:rPr>
        <w:t>成员有下列情形之一的，应当回避：</w:t>
      </w:r>
    </w:p>
    <w:p w14:paraId="7A049364">
      <w:pPr>
        <w:adjustRightInd w:val="0"/>
        <w:snapToGrid w:val="0"/>
        <w:spacing w:line="360" w:lineRule="auto"/>
        <w:ind w:firstLine="420"/>
        <w:jc w:val="left"/>
        <w:outlineLvl w:val="9"/>
        <w:rPr>
          <w:color w:val="auto"/>
          <w:szCs w:val="21"/>
        </w:rPr>
      </w:pPr>
      <w:r>
        <w:rPr>
          <w:rFonts w:ascii="宋体" w:hAnsi="宋体"/>
          <w:color w:val="auto"/>
          <w:szCs w:val="21"/>
        </w:rPr>
        <w:t>（1）参加采购活动前 3 年内与供应商存在劳动关系</w:t>
      </w:r>
      <w:r>
        <w:rPr>
          <w:rFonts w:hint="eastAsia" w:ascii="宋体" w:hAnsi="宋体"/>
          <w:color w:val="auto"/>
          <w:szCs w:val="21"/>
        </w:rPr>
        <w:t>；</w:t>
      </w:r>
    </w:p>
    <w:p w14:paraId="363B99D0">
      <w:pPr>
        <w:adjustRightInd w:val="0"/>
        <w:snapToGrid w:val="0"/>
        <w:spacing w:line="360" w:lineRule="auto"/>
        <w:ind w:firstLine="420"/>
        <w:jc w:val="left"/>
        <w:outlineLvl w:val="9"/>
        <w:rPr>
          <w:color w:val="auto"/>
          <w:szCs w:val="21"/>
        </w:rPr>
      </w:pPr>
      <w:r>
        <w:rPr>
          <w:rFonts w:ascii="宋体" w:hAnsi="宋体"/>
          <w:color w:val="auto"/>
          <w:szCs w:val="21"/>
        </w:rPr>
        <w:t>（2）参加采购活动前 3 年内担任供应商的董事、监事；</w:t>
      </w:r>
    </w:p>
    <w:p w14:paraId="4AC609C7">
      <w:pPr>
        <w:adjustRightInd w:val="0"/>
        <w:snapToGrid w:val="0"/>
        <w:spacing w:line="360" w:lineRule="auto"/>
        <w:ind w:firstLine="420"/>
        <w:jc w:val="left"/>
        <w:outlineLvl w:val="9"/>
        <w:rPr>
          <w:color w:val="auto"/>
          <w:szCs w:val="21"/>
        </w:rPr>
      </w:pPr>
      <w:r>
        <w:rPr>
          <w:rFonts w:ascii="宋体" w:hAnsi="宋体"/>
          <w:color w:val="auto"/>
          <w:szCs w:val="21"/>
        </w:rPr>
        <w:t>（3）参加采购活动前 3 年内是供应商的控股股东或者实际控制人；</w:t>
      </w:r>
    </w:p>
    <w:p w14:paraId="2E94E586">
      <w:pPr>
        <w:adjustRightInd w:val="0"/>
        <w:snapToGrid w:val="0"/>
        <w:spacing w:line="360" w:lineRule="auto"/>
        <w:ind w:firstLine="420"/>
        <w:jc w:val="left"/>
        <w:outlineLvl w:val="9"/>
        <w:rPr>
          <w:rFonts w:hint="eastAsia" w:ascii="宋体" w:hAnsi="宋体" w:eastAsia="宋体"/>
          <w:color w:val="auto"/>
          <w:szCs w:val="21"/>
          <w:lang w:eastAsia="zh-CN"/>
        </w:rPr>
      </w:pPr>
      <w:r>
        <w:rPr>
          <w:rFonts w:ascii="宋体" w:hAnsi="宋体"/>
          <w:color w:val="auto"/>
          <w:szCs w:val="21"/>
        </w:rPr>
        <w:t>（4）与供应商的法定代表人或者负责人有夫妻、直系血亲、三代以内旁系血亲或者近姻亲关系；</w:t>
      </w:r>
    </w:p>
    <w:p w14:paraId="2D0BA89A">
      <w:pPr>
        <w:adjustRightInd w:val="0"/>
        <w:snapToGrid w:val="0"/>
        <w:spacing w:line="360" w:lineRule="auto"/>
        <w:ind w:firstLine="420"/>
        <w:jc w:val="left"/>
        <w:outlineLvl w:val="9"/>
        <w:rPr>
          <w:rFonts w:ascii="宋体" w:hAnsi="宋体"/>
          <w:color w:val="auto"/>
          <w:szCs w:val="21"/>
        </w:rPr>
      </w:pPr>
      <w:r>
        <w:rPr>
          <w:rFonts w:ascii="宋体" w:hAnsi="宋体"/>
          <w:color w:val="auto"/>
          <w:szCs w:val="21"/>
        </w:rPr>
        <w:t>（5）与供应商有其他可能影响政府采购活动公平、公正进行的关系。</w:t>
      </w:r>
    </w:p>
    <w:p w14:paraId="2EAB0B76">
      <w:pPr>
        <w:adjustRightInd w:val="0"/>
        <w:snapToGrid w:val="0"/>
        <w:spacing w:line="360" w:lineRule="auto"/>
        <w:ind w:firstLine="420"/>
        <w:jc w:val="left"/>
        <w:outlineLvl w:val="9"/>
        <w:rPr>
          <w:color w:val="auto"/>
          <w:szCs w:val="21"/>
        </w:rPr>
      </w:pPr>
      <w:r>
        <w:rPr>
          <w:rFonts w:hint="eastAsia" w:ascii="宋体" w:hAnsi="宋体"/>
          <w:color w:val="auto"/>
          <w:szCs w:val="21"/>
          <w:lang w:val="en-US" w:eastAsia="zh-CN"/>
        </w:rPr>
        <w:t>19</w:t>
      </w:r>
      <w:r>
        <w:rPr>
          <w:rFonts w:ascii="宋体" w:hAnsi="宋体"/>
          <w:color w:val="auto"/>
          <w:szCs w:val="21"/>
        </w:rPr>
        <w:t>.</w:t>
      </w:r>
      <w:r>
        <w:rPr>
          <w:rFonts w:hint="eastAsia" w:ascii="宋体" w:hAnsi="宋体"/>
          <w:color w:val="auto"/>
          <w:szCs w:val="21"/>
        </w:rPr>
        <w:t>3</w:t>
      </w:r>
      <w:r>
        <w:rPr>
          <w:rFonts w:hint="eastAsia" w:ascii="宋体" w:hAnsi="宋体"/>
          <w:color w:val="auto"/>
          <w:szCs w:val="21"/>
          <w:lang w:eastAsia="zh-CN"/>
        </w:rPr>
        <w:t>磋商</w:t>
      </w:r>
      <w:r>
        <w:rPr>
          <w:rFonts w:hint="eastAsia" w:ascii="宋体" w:hAnsi="宋体"/>
          <w:color w:val="auto"/>
          <w:szCs w:val="21"/>
        </w:rPr>
        <w:t>小组成员应当按照客观、公正、审慎的原则，根据</w:t>
      </w:r>
      <w:r>
        <w:rPr>
          <w:rFonts w:hint="eastAsia" w:ascii="宋体" w:hAnsi="宋体"/>
          <w:color w:val="auto"/>
          <w:szCs w:val="21"/>
          <w:lang w:eastAsia="zh-CN"/>
        </w:rPr>
        <w:t>磋商</w:t>
      </w:r>
      <w:r>
        <w:rPr>
          <w:rFonts w:hint="eastAsia" w:ascii="宋体" w:hAnsi="宋体"/>
          <w:color w:val="auto"/>
          <w:szCs w:val="21"/>
        </w:rPr>
        <w:t>文件规定的评审程序、评审方法和评审标准进行独立评审。</w:t>
      </w:r>
    </w:p>
    <w:p w14:paraId="43530170">
      <w:pPr>
        <w:spacing w:line="360" w:lineRule="auto"/>
        <w:outlineLvl w:val="9"/>
        <w:rPr>
          <w:rFonts w:hint="eastAsia" w:ascii="宋体" w:hAnsi="宋体" w:eastAsia="宋体" w:cs="宋体"/>
          <w:b/>
          <w:bCs/>
          <w:color w:val="auto"/>
          <w:sz w:val="22"/>
          <w:szCs w:val="22"/>
          <w:lang w:val="en-US" w:eastAsia="zh-CN"/>
        </w:rPr>
      </w:pPr>
      <w:bookmarkStart w:id="88" w:name="_Toc107997988"/>
      <w:bookmarkStart w:id="89" w:name="_Toc107997861"/>
      <w:r>
        <w:rPr>
          <w:rFonts w:hint="eastAsia" w:ascii="宋体" w:hAnsi="宋体" w:eastAsia="宋体" w:cs="宋体"/>
          <w:b/>
          <w:bCs/>
          <w:color w:val="auto"/>
          <w:sz w:val="22"/>
          <w:szCs w:val="22"/>
          <w:lang w:val="en-US" w:eastAsia="zh-CN"/>
        </w:rPr>
        <w:t>20.磋商程序</w:t>
      </w:r>
      <w:bookmarkEnd w:id="88"/>
      <w:bookmarkEnd w:id="89"/>
    </w:p>
    <w:p w14:paraId="74F73507">
      <w:pPr>
        <w:adjustRightInd w:val="0"/>
        <w:snapToGrid w:val="0"/>
        <w:spacing w:line="360" w:lineRule="auto"/>
        <w:ind w:firstLine="420"/>
        <w:jc w:val="left"/>
        <w:outlineLvl w:val="9"/>
        <w:rPr>
          <w:rFonts w:ascii="宋体" w:hAnsi="宋体"/>
          <w:bCs/>
          <w:color w:val="auto"/>
          <w:szCs w:val="21"/>
        </w:rPr>
      </w:pPr>
      <w:r>
        <w:rPr>
          <w:rFonts w:hint="eastAsia" w:ascii="宋体" w:hAnsi="宋体" w:cs="宋体"/>
          <w:color w:val="auto"/>
          <w:kern w:val="0"/>
          <w:szCs w:val="21"/>
        </w:rPr>
        <w:t>2</w:t>
      </w:r>
      <w:r>
        <w:rPr>
          <w:rFonts w:hint="eastAsia" w:ascii="宋体" w:hAnsi="宋体" w:cs="宋体"/>
          <w:color w:val="auto"/>
          <w:kern w:val="0"/>
          <w:szCs w:val="21"/>
          <w:lang w:val="en-US" w:eastAsia="zh-CN"/>
        </w:rPr>
        <w:t>0</w:t>
      </w:r>
      <w:r>
        <w:rPr>
          <w:rFonts w:hint="eastAsia" w:ascii="宋体" w:hAnsi="宋体" w:cs="宋体"/>
          <w:color w:val="auto"/>
          <w:kern w:val="0"/>
          <w:szCs w:val="21"/>
        </w:rPr>
        <w:t>.1</w:t>
      </w:r>
      <w:r>
        <w:rPr>
          <w:rFonts w:hint="eastAsia" w:ascii="宋体" w:hAnsi="宋体"/>
          <w:bCs/>
          <w:color w:val="auto"/>
          <w:szCs w:val="21"/>
          <w:lang w:eastAsia="zh-CN"/>
        </w:rPr>
        <w:t>磋商</w:t>
      </w:r>
      <w:r>
        <w:rPr>
          <w:rFonts w:hint="eastAsia" w:ascii="宋体" w:hAnsi="宋体"/>
          <w:bCs/>
          <w:color w:val="auto"/>
          <w:szCs w:val="21"/>
        </w:rPr>
        <w:t>程序：</w:t>
      </w:r>
      <w:r>
        <w:rPr>
          <w:rFonts w:hint="eastAsia" w:ascii="宋体" w:hAnsi="宋体"/>
          <w:bCs/>
          <w:color w:val="auto"/>
          <w:szCs w:val="21"/>
          <w:lang w:eastAsia="zh-CN"/>
        </w:rPr>
        <w:t>磋商</w:t>
      </w:r>
      <w:r>
        <w:rPr>
          <w:rFonts w:hint="eastAsia" w:ascii="宋体" w:hAnsi="宋体"/>
          <w:bCs/>
          <w:color w:val="auto"/>
          <w:szCs w:val="21"/>
        </w:rPr>
        <w:t>（响应文件审查、澄清）、最后报价、提出成交供应商。其中，</w:t>
      </w:r>
      <w:r>
        <w:rPr>
          <w:rFonts w:hint="eastAsia" w:ascii="宋体" w:hAnsi="宋体"/>
          <w:bCs/>
          <w:color w:val="auto"/>
          <w:szCs w:val="21"/>
          <w:lang w:eastAsia="zh-CN"/>
        </w:rPr>
        <w:t>磋商</w:t>
      </w:r>
      <w:r>
        <w:rPr>
          <w:rFonts w:hint="eastAsia" w:ascii="宋体" w:hAnsi="宋体"/>
          <w:bCs/>
          <w:color w:val="auto"/>
          <w:szCs w:val="21"/>
        </w:rPr>
        <w:t>按本章第23条进行。</w:t>
      </w:r>
    </w:p>
    <w:p w14:paraId="3F96910A">
      <w:pPr>
        <w:adjustRightInd w:val="0"/>
        <w:snapToGrid w:val="0"/>
        <w:spacing w:line="360" w:lineRule="auto"/>
        <w:ind w:firstLine="420"/>
        <w:jc w:val="left"/>
        <w:outlineLvl w:val="9"/>
        <w:rPr>
          <w:rFonts w:ascii="宋体" w:hAnsi="宋体"/>
          <w:bCs/>
          <w:color w:val="auto"/>
          <w:szCs w:val="21"/>
        </w:rPr>
      </w:pPr>
      <w:r>
        <w:rPr>
          <w:rFonts w:hint="eastAsia" w:ascii="宋体" w:hAnsi="宋体"/>
          <w:bCs/>
          <w:color w:val="auto"/>
          <w:szCs w:val="21"/>
        </w:rPr>
        <w:t>2</w:t>
      </w:r>
      <w:r>
        <w:rPr>
          <w:rFonts w:hint="eastAsia" w:ascii="宋体" w:hAnsi="宋体"/>
          <w:bCs/>
          <w:color w:val="auto"/>
          <w:szCs w:val="21"/>
          <w:lang w:val="en-US" w:eastAsia="zh-CN"/>
        </w:rPr>
        <w:t>0</w:t>
      </w:r>
      <w:r>
        <w:rPr>
          <w:rFonts w:hint="eastAsia" w:ascii="宋体" w:hAnsi="宋体"/>
          <w:bCs/>
          <w:color w:val="auto"/>
          <w:szCs w:val="21"/>
        </w:rPr>
        <w:t>.2</w:t>
      </w:r>
      <w:r>
        <w:rPr>
          <w:rFonts w:hint="eastAsia" w:ascii="宋体" w:hAnsi="宋体"/>
          <w:bCs/>
          <w:color w:val="auto"/>
          <w:szCs w:val="21"/>
          <w:lang w:eastAsia="zh-CN"/>
        </w:rPr>
        <w:t>磋商</w:t>
      </w:r>
      <w:r>
        <w:rPr>
          <w:rFonts w:hint="eastAsia" w:ascii="宋体" w:hAnsi="宋体"/>
          <w:bCs/>
          <w:color w:val="auto"/>
          <w:szCs w:val="21"/>
        </w:rPr>
        <w:t>小组应当对响应文件进行评审，并根据</w:t>
      </w:r>
      <w:r>
        <w:rPr>
          <w:rFonts w:hint="eastAsia" w:ascii="宋体" w:hAnsi="宋体"/>
          <w:bCs/>
          <w:color w:val="auto"/>
          <w:szCs w:val="21"/>
          <w:lang w:eastAsia="zh-CN"/>
        </w:rPr>
        <w:t>磋商</w:t>
      </w:r>
      <w:r>
        <w:rPr>
          <w:rFonts w:hint="eastAsia" w:ascii="宋体" w:hAnsi="宋体"/>
          <w:bCs/>
          <w:color w:val="auto"/>
          <w:szCs w:val="21"/>
        </w:rPr>
        <w:t>文件规定的程序、评定成交的标准等事项与实质性响应</w:t>
      </w:r>
      <w:r>
        <w:rPr>
          <w:rFonts w:hint="eastAsia" w:ascii="宋体" w:hAnsi="宋体"/>
          <w:bCs/>
          <w:color w:val="auto"/>
          <w:szCs w:val="21"/>
          <w:lang w:eastAsia="zh-CN"/>
        </w:rPr>
        <w:t>磋商</w:t>
      </w:r>
      <w:r>
        <w:rPr>
          <w:rFonts w:hint="eastAsia" w:ascii="宋体" w:hAnsi="宋体"/>
          <w:bCs/>
          <w:color w:val="auto"/>
          <w:szCs w:val="21"/>
        </w:rPr>
        <w:t>文件要求的供应商进行</w:t>
      </w:r>
      <w:r>
        <w:rPr>
          <w:rFonts w:hint="eastAsia" w:ascii="宋体" w:hAnsi="宋体"/>
          <w:bCs/>
          <w:color w:val="auto"/>
          <w:szCs w:val="21"/>
          <w:lang w:eastAsia="zh-CN"/>
        </w:rPr>
        <w:t>磋商</w:t>
      </w:r>
      <w:r>
        <w:rPr>
          <w:rFonts w:hint="eastAsia" w:ascii="宋体" w:hAnsi="宋体"/>
          <w:bCs/>
          <w:color w:val="auto"/>
          <w:szCs w:val="21"/>
        </w:rPr>
        <w:t>。</w:t>
      </w:r>
    </w:p>
    <w:p w14:paraId="0C3AD1B2">
      <w:pPr>
        <w:adjustRightInd w:val="0"/>
        <w:snapToGrid w:val="0"/>
        <w:spacing w:line="360" w:lineRule="auto"/>
        <w:ind w:firstLine="420"/>
        <w:jc w:val="left"/>
        <w:outlineLvl w:val="9"/>
        <w:rPr>
          <w:rFonts w:ascii="宋体" w:hAnsi="宋体"/>
          <w:bCs/>
          <w:color w:val="auto"/>
          <w:szCs w:val="21"/>
        </w:rPr>
      </w:pPr>
      <w:r>
        <w:rPr>
          <w:rFonts w:hint="eastAsia" w:ascii="宋体" w:hAnsi="宋体"/>
          <w:bCs/>
          <w:color w:val="auto"/>
          <w:szCs w:val="21"/>
        </w:rPr>
        <w:t>2</w:t>
      </w:r>
      <w:r>
        <w:rPr>
          <w:rFonts w:hint="eastAsia" w:ascii="宋体" w:hAnsi="宋体"/>
          <w:bCs/>
          <w:color w:val="auto"/>
          <w:szCs w:val="21"/>
          <w:lang w:val="en-US" w:eastAsia="zh-CN"/>
        </w:rPr>
        <w:t>0</w:t>
      </w:r>
      <w:r>
        <w:rPr>
          <w:rFonts w:hint="eastAsia" w:ascii="宋体" w:hAnsi="宋体"/>
          <w:bCs/>
          <w:color w:val="auto"/>
          <w:szCs w:val="21"/>
        </w:rPr>
        <w:t>.3在</w:t>
      </w:r>
      <w:r>
        <w:rPr>
          <w:rFonts w:hint="eastAsia" w:ascii="宋体" w:hAnsi="宋体"/>
          <w:bCs/>
          <w:color w:val="auto"/>
          <w:szCs w:val="21"/>
          <w:lang w:eastAsia="zh-CN"/>
        </w:rPr>
        <w:t>磋商</w:t>
      </w:r>
      <w:r>
        <w:rPr>
          <w:rFonts w:hint="eastAsia" w:ascii="宋体" w:hAnsi="宋体"/>
          <w:bCs/>
          <w:color w:val="auto"/>
          <w:szCs w:val="21"/>
        </w:rPr>
        <w:t>过程中</w:t>
      </w:r>
      <w:r>
        <w:rPr>
          <w:rFonts w:hint="eastAsia" w:ascii="宋体" w:hAnsi="宋体"/>
          <w:bCs/>
          <w:color w:val="auto"/>
          <w:szCs w:val="21"/>
          <w:lang w:eastAsia="zh-CN"/>
        </w:rPr>
        <w:t>磋商</w:t>
      </w:r>
      <w:r>
        <w:rPr>
          <w:rFonts w:hint="eastAsia" w:ascii="宋体" w:hAnsi="宋体"/>
          <w:bCs/>
          <w:color w:val="auto"/>
          <w:szCs w:val="21"/>
        </w:rPr>
        <w:t>的任何一方不得向他人透露与</w:t>
      </w:r>
      <w:r>
        <w:rPr>
          <w:rFonts w:hint="eastAsia" w:ascii="宋体" w:hAnsi="宋体"/>
          <w:bCs/>
          <w:color w:val="auto"/>
          <w:szCs w:val="21"/>
          <w:lang w:eastAsia="zh-CN"/>
        </w:rPr>
        <w:t>磋商</w:t>
      </w:r>
      <w:r>
        <w:rPr>
          <w:rFonts w:hint="eastAsia" w:ascii="宋体" w:hAnsi="宋体"/>
          <w:bCs/>
          <w:color w:val="auto"/>
          <w:szCs w:val="21"/>
        </w:rPr>
        <w:t>有关的技术资料、价格或其他信息。</w:t>
      </w:r>
    </w:p>
    <w:p w14:paraId="3E0D3ED1">
      <w:pPr>
        <w:spacing w:line="360" w:lineRule="auto"/>
        <w:outlineLvl w:val="9"/>
        <w:rPr>
          <w:rFonts w:hint="eastAsia" w:ascii="宋体" w:hAnsi="宋体" w:eastAsia="宋体" w:cs="宋体"/>
          <w:b/>
          <w:bCs/>
          <w:color w:val="auto"/>
          <w:sz w:val="22"/>
          <w:szCs w:val="22"/>
          <w:lang w:val="en-US" w:eastAsia="zh-CN"/>
        </w:rPr>
      </w:pPr>
      <w:bookmarkStart w:id="90" w:name="_Toc107997862"/>
      <w:bookmarkStart w:id="91" w:name="_Toc107997989"/>
      <w:r>
        <w:rPr>
          <w:rFonts w:hint="eastAsia" w:ascii="宋体" w:hAnsi="宋体" w:eastAsia="宋体" w:cs="宋体"/>
          <w:b/>
          <w:bCs/>
          <w:color w:val="auto"/>
          <w:sz w:val="22"/>
          <w:szCs w:val="22"/>
          <w:lang w:val="en-US" w:eastAsia="zh-CN"/>
        </w:rPr>
        <w:t>21.响应文件审查</w:t>
      </w:r>
      <w:bookmarkEnd w:id="90"/>
      <w:bookmarkEnd w:id="91"/>
    </w:p>
    <w:p w14:paraId="4AF23CA8">
      <w:pPr>
        <w:adjustRightInd w:val="0"/>
        <w:snapToGrid w:val="0"/>
        <w:spacing w:before="156" w:beforeLines="50" w:line="360" w:lineRule="auto"/>
        <w:ind w:firstLine="420"/>
        <w:jc w:val="left"/>
        <w:outlineLvl w:val="9"/>
        <w:rPr>
          <w:rFonts w:hint="eastAsia" w:ascii="宋体" w:hAnsi="宋体" w:eastAsia="宋体" w:cs="宋体"/>
          <w:color w:val="auto"/>
          <w:kern w:val="0"/>
          <w:sz w:val="21"/>
          <w:szCs w:val="21"/>
        </w:rPr>
      </w:pPr>
      <w:bookmarkStart w:id="92" w:name="_Toc107997863"/>
      <w:bookmarkStart w:id="93" w:name="_Toc107997990"/>
      <w:r>
        <w:rPr>
          <w:rFonts w:hint="eastAsia" w:ascii="宋体" w:hAnsi="宋体" w:eastAsia="宋体" w:cs="宋体"/>
          <w:color w:val="auto"/>
          <w:kern w:val="0"/>
          <w:sz w:val="21"/>
          <w:szCs w:val="21"/>
        </w:rPr>
        <w:t>21.1</w:t>
      </w:r>
      <w:r>
        <w:rPr>
          <w:rFonts w:hint="eastAsia" w:ascii="宋体" w:hAnsi="宋体" w:eastAsia="宋体" w:cs="宋体"/>
          <w:color w:val="auto"/>
          <w:kern w:val="0"/>
          <w:sz w:val="21"/>
          <w:szCs w:val="21"/>
          <w:lang w:eastAsia="zh-CN"/>
        </w:rPr>
        <w:t>磋商</w:t>
      </w:r>
      <w:r>
        <w:rPr>
          <w:rFonts w:hint="eastAsia" w:ascii="宋体" w:hAnsi="宋体" w:eastAsia="宋体" w:cs="宋体"/>
          <w:color w:val="auto"/>
          <w:kern w:val="0"/>
          <w:sz w:val="21"/>
          <w:szCs w:val="21"/>
        </w:rPr>
        <w:t>小组对响应文件(包括首次提交的响应文件、重新提交的响应文件)的有效性、完整性和对</w:t>
      </w:r>
      <w:r>
        <w:rPr>
          <w:rFonts w:hint="eastAsia" w:ascii="宋体" w:hAnsi="宋体" w:eastAsia="宋体" w:cs="宋体"/>
          <w:color w:val="auto"/>
          <w:kern w:val="0"/>
          <w:sz w:val="21"/>
          <w:szCs w:val="21"/>
          <w:lang w:eastAsia="zh-CN"/>
        </w:rPr>
        <w:t>磋商</w:t>
      </w:r>
      <w:r>
        <w:rPr>
          <w:rFonts w:hint="eastAsia" w:ascii="宋体" w:hAnsi="宋体" w:eastAsia="宋体" w:cs="宋体"/>
          <w:color w:val="auto"/>
          <w:kern w:val="0"/>
          <w:sz w:val="21"/>
          <w:szCs w:val="21"/>
        </w:rPr>
        <w:t>文件的响应程度进行审查</w:t>
      </w:r>
      <w:r>
        <w:rPr>
          <w:rFonts w:hint="eastAsia" w:ascii="宋体" w:hAnsi="宋体" w:eastAsia="宋体" w:cs="宋体"/>
          <w:color w:val="auto"/>
          <w:kern w:val="0"/>
          <w:sz w:val="21"/>
          <w:szCs w:val="21"/>
          <w:lang w:eastAsia="zh-CN"/>
        </w:rPr>
        <w:t>，</w:t>
      </w:r>
      <w:r>
        <w:rPr>
          <w:rFonts w:hint="eastAsia" w:ascii="宋体" w:hAnsi="宋体" w:eastAsia="宋体"/>
          <w:szCs w:val="21"/>
        </w:rPr>
        <w:t>以确定是否对</w:t>
      </w:r>
      <w:r>
        <w:rPr>
          <w:rFonts w:hint="eastAsia" w:ascii="宋体" w:hAnsi="宋体" w:eastAsia="宋体"/>
          <w:szCs w:val="21"/>
          <w:lang w:eastAsia="zh-CN"/>
        </w:rPr>
        <w:t>磋商</w:t>
      </w:r>
      <w:r>
        <w:rPr>
          <w:rFonts w:hint="eastAsia" w:ascii="宋体" w:hAnsi="宋体" w:eastAsia="宋体"/>
          <w:szCs w:val="21"/>
        </w:rPr>
        <w:t>文件的实质性要求作出响应。</w:t>
      </w:r>
      <w:r>
        <w:rPr>
          <w:rFonts w:hint="eastAsia" w:ascii="宋体" w:hAnsi="宋体" w:eastAsia="宋体" w:cs="宋体"/>
          <w:color w:val="auto"/>
          <w:kern w:val="0"/>
          <w:sz w:val="21"/>
          <w:szCs w:val="21"/>
        </w:rPr>
        <w:t>。</w:t>
      </w:r>
    </w:p>
    <w:p w14:paraId="5B3CC016">
      <w:pPr>
        <w:adjustRightInd w:val="0"/>
        <w:snapToGrid w:val="0"/>
        <w:spacing w:before="156" w:beforeLines="50" w:line="360" w:lineRule="auto"/>
        <w:ind w:firstLine="42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21.2响应文件有下列情况之一</w:t>
      </w:r>
      <w:r>
        <w:rPr>
          <w:rFonts w:hint="eastAsia" w:ascii="宋体" w:hAnsi="宋体" w:eastAsia="宋体" w:cs="宋体"/>
          <w:color w:val="auto"/>
          <w:kern w:val="0"/>
          <w:sz w:val="21"/>
          <w:szCs w:val="21"/>
          <w:lang w:eastAsia="zh-CN"/>
        </w:rPr>
        <w:t>的</w:t>
      </w:r>
      <w:r>
        <w:rPr>
          <w:rFonts w:hint="eastAsia" w:ascii="宋体" w:hAnsi="宋体" w:eastAsia="宋体" w:cs="宋体"/>
          <w:color w:val="auto"/>
          <w:kern w:val="0"/>
          <w:sz w:val="21"/>
          <w:szCs w:val="21"/>
        </w:rPr>
        <w:t>，响应文件按无效处理。</w:t>
      </w:r>
    </w:p>
    <w:p w14:paraId="38C76E98">
      <w:pPr>
        <w:adjustRightInd w:val="0"/>
        <w:snapToGrid w:val="0"/>
        <w:spacing w:before="156" w:beforeLines="50" w:line="360" w:lineRule="auto"/>
        <w:ind w:firstLine="420" w:firstLineChars="200"/>
        <w:jc w:val="left"/>
        <w:outlineLvl w:val="9"/>
        <w:rPr>
          <w:rFonts w:ascii="宋体" w:hAnsi="宋体" w:eastAsia="宋体"/>
          <w:szCs w:val="21"/>
        </w:rPr>
      </w:pPr>
      <w:r>
        <w:rPr>
          <w:rFonts w:hint="eastAsia" w:ascii="宋体" w:hAnsi="宋体" w:eastAsia="宋体"/>
          <w:szCs w:val="21"/>
        </w:rPr>
        <w:t>（1）</w:t>
      </w:r>
      <w:r>
        <w:rPr>
          <w:rFonts w:hint="eastAsia" w:ascii="宋体" w:hAnsi="宋体" w:eastAsia="宋体"/>
          <w:szCs w:val="21"/>
          <w:lang w:eastAsia="zh-CN"/>
        </w:rPr>
        <w:t>响应</w:t>
      </w:r>
      <w:r>
        <w:rPr>
          <w:rFonts w:hint="eastAsia" w:ascii="宋体" w:hAnsi="宋体" w:eastAsia="宋体"/>
          <w:szCs w:val="21"/>
        </w:rPr>
        <w:t>文件中商务技术文件未按照</w:t>
      </w:r>
      <w:r>
        <w:rPr>
          <w:rFonts w:hint="eastAsia" w:ascii="宋体" w:hAnsi="宋体" w:eastAsia="宋体"/>
          <w:szCs w:val="21"/>
          <w:lang w:eastAsia="zh-CN"/>
        </w:rPr>
        <w:t>磋商</w:t>
      </w:r>
      <w:r>
        <w:rPr>
          <w:rFonts w:hint="eastAsia" w:ascii="宋体" w:hAnsi="宋体" w:eastAsia="宋体"/>
          <w:szCs w:val="21"/>
        </w:rPr>
        <w:t>文件规定要求签署、盖章的；</w:t>
      </w:r>
    </w:p>
    <w:p w14:paraId="1491EFD0">
      <w:pPr>
        <w:adjustRightInd w:val="0"/>
        <w:snapToGrid w:val="0"/>
        <w:spacing w:before="156" w:beforeLines="50" w:line="360" w:lineRule="auto"/>
        <w:ind w:firstLine="420" w:firstLineChars="200"/>
        <w:jc w:val="left"/>
        <w:outlineLvl w:val="9"/>
        <w:rPr>
          <w:rFonts w:ascii="宋体" w:hAnsi="宋体" w:eastAsia="宋体"/>
          <w:szCs w:val="21"/>
        </w:rPr>
      </w:pPr>
      <w:r>
        <w:rPr>
          <w:rFonts w:hint="eastAsia" w:ascii="宋体" w:hAnsi="宋体" w:eastAsia="宋体"/>
          <w:szCs w:val="21"/>
        </w:rPr>
        <w:t>（2）</w:t>
      </w:r>
      <w:r>
        <w:rPr>
          <w:rFonts w:hint="eastAsia" w:ascii="宋体" w:hAnsi="宋体" w:eastAsia="宋体"/>
          <w:szCs w:val="21"/>
          <w:lang w:eastAsia="zh-CN"/>
        </w:rPr>
        <w:t>响应</w:t>
      </w:r>
      <w:r>
        <w:rPr>
          <w:rFonts w:hint="eastAsia" w:ascii="宋体" w:hAnsi="宋体" w:eastAsia="宋体"/>
          <w:szCs w:val="21"/>
        </w:rPr>
        <w:t>文件</w:t>
      </w:r>
      <w:r>
        <w:rPr>
          <w:rFonts w:hint="eastAsia" w:ascii="宋体" w:hAnsi="宋体" w:eastAsia="宋体"/>
          <w:szCs w:val="21"/>
          <w:lang w:val="en-US" w:eastAsia="zh-CN"/>
        </w:rPr>
        <w:t>不满足</w:t>
      </w:r>
      <w:r>
        <w:rPr>
          <w:rFonts w:hint="eastAsia" w:ascii="宋体" w:hAnsi="宋体" w:eastAsia="宋体"/>
          <w:szCs w:val="21"/>
          <w:lang w:eastAsia="zh-CN"/>
        </w:rPr>
        <w:t>磋商</w:t>
      </w:r>
      <w:r>
        <w:rPr>
          <w:rFonts w:hint="eastAsia" w:ascii="宋体" w:hAnsi="宋体" w:eastAsia="宋体"/>
          <w:szCs w:val="21"/>
        </w:rPr>
        <w:t>文件</w:t>
      </w:r>
      <w:r>
        <w:rPr>
          <w:rFonts w:hint="eastAsia" w:ascii="宋体" w:hAnsi="宋体" w:eastAsia="宋体"/>
          <w:szCs w:val="21"/>
          <w:lang w:val="en-US" w:eastAsia="zh-CN"/>
        </w:rPr>
        <w:t>规定</w:t>
      </w:r>
      <w:r>
        <w:rPr>
          <w:rFonts w:hint="eastAsia" w:ascii="宋体" w:hAnsi="宋体" w:eastAsia="宋体"/>
          <w:szCs w:val="21"/>
        </w:rPr>
        <w:t>的实质性要求和条件</w:t>
      </w:r>
      <w:r>
        <w:rPr>
          <w:rFonts w:hint="eastAsia" w:ascii="宋体" w:hAnsi="宋体" w:eastAsia="宋体"/>
          <w:szCs w:val="21"/>
          <w:lang w:val="en-US" w:eastAsia="zh-CN"/>
        </w:rPr>
        <w:t>的</w:t>
      </w:r>
      <w:r>
        <w:rPr>
          <w:rFonts w:hint="eastAsia" w:ascii="宋体" w:hAnsi="宋体" w:eastAsia="宋体"/>
          <w:szCs w:val="21"/>
        </w:rPr>
        <w:t>；</w:t>
      </w:r>
    </w:p>
    <w:p w14:paraId="28ED6251">
      <w:pPr>
        <w:adjustRightInd w:val="0"/>
        <w:snapToGrid w:val="0"/>
        <w:spacing w:before="156" w:beforeLines="50" w:line="360" w:lineRule="auto"/>
        <w:ind w:firstLine="420" w:firstLineChars="200"/>
        <w:jc w:val="left"/>
        <w:outlineLvl w:val="9"/>
        <w:rPr>
          <w:rFonts w:ascii="宋体" w:hAnsi="宋体" w:eastAsia="宋体"/>
          <w:szCs w:val="21"/>
        </w:rPr>
      </w:pPr>
      <w:r>
        <w:rPr>
          <w:rFonts w:hint="eastAsia" w:ascii="宋体" w:hAnsi="宋体" w:eastAsia="宋体"/>
          <w:szCs w:val="21"/>
        </w:rPr>
        <w:t>（3）</w:t>
      </w:r>
      <w:r>
        <w:rPr>
          <w:rFonts w:hint="eastAsia" w:ascii="宋体" w:hAnsi="宋体" w:eastAsia="宋体"/>
          <w:szCs w:val="21"/>
          <w:lang w:eastAsia="zh-CN"/>
        </w:rPr>
        <w:t>响应</w:t>
      </w:r>
      <w:r>
        <w:rPr>
          <w:rFonts w:hint="eastAsia" w:ascii="宋体" w:hAnsi="宋体" w:eastAsia="宋体"/>
          <w:szCs w:val="21"/>
        </w:rPr>
        <w:t>有效期不足的；</w:t>
      </w:r>
    </w:p>
    <w:p w14:paraId="47E4B214">
      <w:pPr>
        <w:adjustRightInd w:val="0"/>
        <w:snapToGrid w:val="0"/>
        <w:spacing w:before="156" w:beforeLines="50" w:line="360" w:lineRule="auto"/>
        <w:ind w:firstLine="420" w:firstLineChars="200"/>
        <w:jc w:val="left"/>
        <w:outlineLvl w:val="9"/>
        <w:rPr>
          <w:rFonts w:ascii="宋体" w:hAnsi="宋体" w:eastAsia="宋体"/>
          <w:szCs w:val="21"/>
        </w:rPr>
      </w:pPr>
      <w:r>
        <w:rPr>
          <w:rFonts w:hint="eastAsia" w:ascii="宋体" w:hAnsi="宋体" w:eastAsia="宋体"/>
          <w:szCs w:val="21"/>
        </w:rPr>
        <w:t>（4）</w:t>
      </w:r>
      <w:r>
        <w:rPr>
          <w:rFonts w:hint="eastAsia" w:ascii="宋体" w:hAnsi="宋体" w:eastAsia="宋体"/>
          <w:szCs w:val="21"/>
          <w:lang w:eastAsia="zh-CN"/>
        </w:rPr>
        <w:t>响应</w:t>
      </w:r>
      <w:r>
        <w:rPr>
          <w:rFonts w:hint="eastAsia" w:ascii="宋体" w:hAnsi="宋体" w:eastAsia="宋体"/>
          <w:szCs w:val="21"/>
        </w:rPr>
        <w:t>文件含有采购人不能接受的附加条件的；</w:t>
      </w:r>
    </w:p>
    <w:p w14:paraId="356CE9ED">
      <w:pPr>
        <w:adjustRightInd w:val="0"/>
        <w:snapToGrid w:val="0"/>
        <w:spacing w:before="156" w:beforeLines="50" w:line="360" w:lineRule="auto"/>
        <w:ind w:firstLine="420" w:firstLineChars="200"/>
        <w:jc w:val="left"/>
        <w:outlineLvl w:val="9"/>
        <w:rPr>
          <w:rFonts w:ascii="宋体" w:hAnsi="宋体" w:eastAsia="宋体"/>
          <w:szCs w:val="21"/>
        </w:rPr>
      </w:pPr>
      <w:r>
        <w:rPr>
          <w:rFonts w:hint="eastAsia" w:ascii="宋体" w:hAnsi="宋体" w:eastAsia="宋体"/>
          <w:szCs w:val="21"/>
        </w:rPr>
        <w:t>（5）不符合本节第</w:t>
      </w:r>
      <w:r>
        <w:rPr>
          <w:rFonts w:hint="eastAsia" w:ascii="宋体" w:hAnsi="宋体" w:eastAsia="宋体"/>
          <w:szCs w:val="21"/>
          <w:lang w:val="en-US" w:eastAsia="zh-CN"/>
        </w:rPr>
        <w:t>21.1</w:t>
      </w:r>
      <w:r>
        <w:rPr>
          <w:rFonts w:hint="eastAsia" w:ascii="宋体" w:hAnsi="宋体" w:eastAsia="宋体"/>
          <w:szCs w:val="21"/>
        </w:rPr>
        <w:t>款规定审查标准的；</w:t>
      </w:r>
    </w:p>
    <w:p w14:paraId="64917DA7">
      <w:pPr>
        <w:adjustRightInd w:val="0"/>
        <w:snapToGrid w:val="0"/>
        <w:spacing w:before="156" w:beforeLines="50"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szCs w:val="21"/>
        </w:rPr>
        <w:t>（6）法律、法规和</w:t>
      </w:r>
      <w:r>
        <w:rPr>
          <w:rFonts w:hint="eastAsia" w:ascii="宋体" w:hAnsi="宋体" w:eastAsia="宋体"/>
          <w:szCs w:val="21"/>
          <w:lang w:eastAsia="zh-CN"/>
        </w:rPr>
        <w:t>磋商</w:t>
      </w:r>
      <w:r>
        <w:rPr>
          <w:rFonts w:hint="eastAsia" w:ascii="宋体" w:hAnsi="宋体" w:eastAsia="宋体"/>
          <w:szCs w:val="21"/>
        </w:rPr>
        <w:t>文件规定的其他</w:t>
      </w:r>
      <w:r>
        <w:rPr>
          <w:rFonts w:hint="eastAsia" w:ascii="宋体" w:hAnsi="宋体" w:eastAsia="宋体"/>
          <w:szCs w:val="21"/>
          <w:lang w:eastAsia="zh-CN"/>
        </w:rPr>
        <w:t>响应</w:t>
      </w:r>
      <w:r>
        <w:rPr>
          <w:rFonts w:hint="eastAsia" w:ascii="宋体" w:hAnsi="宋体" w:eastAsia="宋体"/>
          <w:szCs w:val="21"/>
        </w:rPr>
        <w:t>无效情形的。</w:t>
      </w:r>
    </w:p>
    <w:p w14:paraId="37DFDC46">
      <w:pPr>
        <w:tabs>
          <w:tab w:val="left" w:pos="735"/>
          <w:tab w:val="left" w:pos="7560"/>
          <w:tab w:val="left" w:pos="7740"/>
          <w:tab w:val="left" w:pos="7920"/>
        </w:tabs>
        <w:adjustRightInd w:val="0"/>
        <w:snapToGrid w:val="0"/>
        <w:spacing w:before="156" w:beforeLines="50" w:line="360" w:lineRule="auto"/>
        <w:ind w:right="300" w:rightChars="143"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21.3响应文件按无效处理的，</w:t>
      </w:r>
      <w:r>
        <w:rPr>
          <w:rFonts w:hint="eastAsia" w:ascii="宋体" w:hAnsi="宋体" w:eastAsia="宋体" w:cs="宋体"/>
          <w:color w:val="auto"/>
          <w:kern w:val="0"/>
          <w:sz w:val="21"/>
          <w:szCs w:val="21"/>
          <w:lang w:eastAsia="zh-CN"/>
        </w:rPr>
        <w:t>磋商</w:t>
      </w:r>
      <w:r>
        <w:rPr>
          <w:rFonts w:hint="eastAsia" w:ascii="宋体" w:hAnsi="宋体" w:eastAsia="宋体" w:cs="宋体"/>
          <w:color w:val="auto"/>
          <w:kern w:val="0"/>
          <w:sz w:val="21"/>
          <w:szCs w:val="21"/>
        </w:rPr>
        <w:t>小组应拒绝其参与</w:t>
      </w:r>
      <w:r>
        <w:rPr>
          <w:rFonts w:hint="eastAsia" w:ascii="宋体" w:hAnsi="宋体" w:eastAsia="宋体" w:cs="宋体"/>
          <w:color w:val="auto"/>
          <w:kern w:val="0"/>
          <w:sz w:val="21"/>
          <w:szCs w:val="21"/>
          <w:lang w:eastAsia="zh-CN"/>
        </w:rPr>
        <w:t>磋商</w:t>
      </w:r>
      <w:r>
        <w:rPr>
          <w:rFonts w:hint="eastAsia" w:ascii="宋体" w:hAnsi="宋体" w:eastAsia="宋体" w:cs="宋体"/>
          <w:color w:val="auto"/>
          <w:kern w:val="0"/>
          <w:sz w:val="21"/>
          <w:szCs w:val="21"/>
        </w:rPr>
        <w:t>，但属于</w:t>
      </w:r>
      <w:r>
        <w:rPr>
          <w:rFonts w:hint="eastAsia" w:ascii="宋体" w:hAnsi="宋体" w:eastAsia="宋体" w:cs="宋体"/>
          <w:color w:val="auto"/>
          <w:kern w:val="0"/>
          <w:sz w:val="21"/>
          <w:szCs w:val="21"/>
          <w:lang w:eastAsia="zh-CN"/>
        </w:rPr>
        <w:t>磋商</w:t>
      </w:r>
      <w:r>
        <w:rPr>
          <w:rFonts w:hint="eastAsia" w:ascii="宋体" w:hAnsi="宋体" w:eastAsia="宋体" w:cs="宋体"/>
          <w:color w:val="auto"/>
          <w:kern w:val="0"/>
          <w:sz w:val="21"/>
          <w:szCs w:val="21"/>
        </w:rPr>
        <w:t>文件规定的实质性变动内容的除外。</w:t>
      </w:r>
    </w:p>
    <w:p w14:paraId="5171DE69">
      <w:pPr>
        <w:adjustRightInd w:val="0"/>
        <w:snapToGrid w:val="0"/>
        <w:spacing w:before="156" w:beforeLines="50" w:line="360" w:lineRule="auto"/>
        <w:ind w:firstLine="42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21.4</w:t>
      </w:r>
      <w:r>
        <w:rPr>
          <w:rFonts w:hint="eastAsia" w:ascii="宋体" w:hAnsi="宋体" w:eastAsia="宋体" w:cs="宋体"/>
          <w:color w:val="auto"/>
          <w:kern w:val="0"/>
          <w:sz w:val="21"/>
          <w:szCs w:val="21"/>
          <w:lang w:eastAsia="zh-CN"/>
        </w:rPr>
        <w:t>磋商</w:t>
      </w:r>
      <w:r>
        <w:rPr>
          <w:rFonts w:hint="eastAsia" w:ascii="宋体" w:hAnsi="宋体" w:eastAsia="宋体" w:cs="宋体"/>
          <w:color w:val="auto"/>
          <w:kern w:val="0"/>
          <w:sz w:val="21"/>
          <w:szCs w:val="21"/>
        </w:rPr>
        <w:t>文件规定的实质性要求和条件见【</w:t>
      </w:r>
      <w:r>
        <w:rPr>
          <w:rFonts w:hint="eastAsia" w:ascii="宋体" w:hAnsi="宋体" w:eastAsia="宋体" w:cs="宋体"/>
          <w:b/>
          <w:color w:val="auto"/>
          <w:kern w:val="0"/>
          <w:sz w:val="21"/>
          <w:szCs w:val="21"/>
          <w:lang w:eastAsia="zh-CN"/>
        </w:rPr>
        <w:t>磋商</w:t>
      </w:r>
      <w:r>
        <w:rPr>
          <w:rFonts w:hint="eastAsia" w:ascii="宋体" w:hAnsi="宋体" w:eastAsia="宋体" w:cs="宋体"/>
          <w:b/>
          <w:color w:val="auto"/>
          <w:kern w:val="0"/>
          <w:sz w:val="21"/>
          <w:szCs w:val="21"/>
        </w:rPr>
        <w:t>须知前附表</w:t>
      </w:r>
      <w:r>
        <w:rPr>
          <w:rFonts w:hint="eastAsia" w:ascii="宋体" w:hAnsi="宋体" w:eastAsia="宋体" w:cs="宋体"/>
          <w:color w:val="auto"/>
          <w:kern w:val="0"/>
          <w:sz w:val="21"/>
          <w:szCs w:val="21"/>
        </w:rPr>
        <w:t>】。</w:t>
      </w:r>
    </w:p>
    <w:p w14:paraId="2D64F167">
      <w:pPr>
        <w:spacing w:line="360" w:lineRule="auto"/>
        <w:outlineLvl w:val="9"/>
        <w:rPr>
          <w:rFonts w:hint="eastAsia" w:ascii="黑体" w:hAnsi="黑体" w:eastAsia="黑体"/>
          <w:b/>
          <w:bCs/>
          <w:color w:val="auto"/>
          <w:sz w:val="24"/>
        </w:rPr>
      </w:pPr>
    </w:p>
    <w:p w14:paraId="1ADBB8CA">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22.澄清</w:t>
      </w:r>
      <w:bookmarkEnd w:id="92"/>
      <w:bookmarkEnd w:id="93"/>
    </w:p>
    <w:p w14:paraId="2022BA3E">
      <w:pPr>
        <w:adjustRightInd w:val="0"/>
        <w:snapToGrid w:val="0"/>
        <w:spacing w:before="156" w:beforeLines="50" w:line="360" w:lineRule="auto"/>
        <w:ind w:firstLine="420"/>
        <w:jc w:val="left"/>
        <w:outlineLvl w:val="9"/>
        <w:rPr>
          <w:rFonts w:ascii="Arial" w:hAnsi="Arial" w:cs="Arial"/>
          <w:b w:val="0"/>
          <w:bCs w:val="0"/>
          <w:color w:val="auto"/>
          <w:kern w:val="0"/>
          <w:szCs w:val="21"/>
          <w:highlight w:val="none"/>
        </w:rPr>
      </w:pPr>
      <w:bookmarkStart w:id="94" w:name="_Toc107997864"/>
      <w:bookmarkStart w:id="95" w:name="_Toc107997991"/>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lang w:val="en-US" w:eastAsia="zh-CN"/>
        </w:rPr>
        <w:t>2</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1</w:t>
      </w:r>
      <w:r>
        <w:rPr>
          <w:rFonts w:ascii="Arial" w:hAnsi="Arial" w:cs="Arial"/>
          <w:b w:val="0"/>
          <w:bCs w:val="0"/>
          <w:color w:val="auto"/>
          <w:kern w:val="0"/>
          <w:szCs w:val="21"/>
          <w:highlight w:val="none"/>
        </w:rPr>
        <w:t xml:space="preserve"> 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1C3BFFF5">
      <w:pPr>
        <w:adjustRightInd w:val="0"/>
        <w:snapToGrid w:val="0"/>
        <w:spacing w:before="156" w:beforeLines="50" w:line="360" w:lineRule="auto"/>
        <w:ind w:firstLine="420"/>
        <w:jc w:val="left"/>
        <w:outlineLvl w:val="9"/>
        <w:rPr>
          <w:rFonts w:ascii="Arial" w:hAnsi="Arial" w:cs="Arial"/>
          <w:b w:val="0"/>
          <w:bCs w:val="0"/>
          <w:color w:val="auto"/>
          <w:kern w:val="0"/>
          <w:szCs w:val="21"/>
          <w:highlight w:val="none"/>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lang w:val="en-US" w:eastAsia="zh-CN"/>
        </w:rPr>
        <w:t>2</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2</w:t>
      </w:r>
      <w:r>
        <w:rPr>
          <w:rFonts w:ascii="Arial" w:hAnsi="Arial" w:cs="Arial"/>
          <w:b w:val="0"/>
          <w:bCs w:val="0"/>
          <w:color w:val="auto"/>
          <w:kern w:val="0"/>
          <w:szCs w:val="21"/>
          <w:highlight w:val="none"/>
        </w:rPr>
        <w:t>磋商小组要求供应商澄清、说明或者更正响应文件应当以书面形式作出。供应商的澄清、说明或者更正应当由其</w:t>
      </w:r>
      <w:r>
        <w:rPr>
          <w:rFonts w:hint="eastAsia" w:ascii="Arial" w:hAnsi="Arial" w:cs="Arial"/>
          <w:b w:val="0"/>
          <w:bCs w:val="0"/>
          <w:color w:val="auto"/>
          <w:kern w:val="0"/>
          <w:szCs w:val="21"/>
          <w:highlight w:val="none"/>
          <w:lang w:eastAsia="zh-CN"/>
        </w:rPr>
        <w:t>供应商</w:t>
      </w:r>
      <w:r>
        <w:rPr>
          <w:rFonts w:ascii="Arial" w:hAnsi="Arial" w:cs="Arial"/>
          <w:b w:val="0"/>
          <w:bCs w:val="0"/>
          <w:color w:val="auto"/>
          <w:kern w:val="0"/>
          <w:szCs w:val="21"/>
          <w:highlight w:val="none"/>
        </w:rPr>
        <w:t>代表签字或者加盖</w:t>
      </w:r>
      <w:r>
        <w:rPr>
          <w:rFonts w:hint="eastAsia" w:ascii="Arial" w:hAnsi="Arial" w:cs="Arial"/>
          <w:b w:val="0"/>
          <w:bCs w:val="0"/>
          <w:color w:val="auto"/>
          <w:kern w:val="0"/>
          <w:szCs w:val="21"/>
          <w:highlight w:val="none"/>
        </w:rPr>
        <w:t>供应商单位</w:t>
      </w:r>
      <w:r>
        <w:rPr>
          <w:rFonts w:ascii="Arial" w:hAnsi="Arial" w:cs="Arial"/>
          <w:b w:val="0"/>
          <w:bCs w:val="0"/>
          <w:color w:val="auto"/>
          <w:kern w:val="0"/>
          <w:szCs w:val="21"/>
          <w:highlight w:val="none"/>
        </w:rPr>
        <w:t>公章。供应商为自然人的，应当由本人签字并附身份证明。</w:t>
      </w:r>
    </w:p>
    <w:p w14:paraId="2F2273A2">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23.磋商的规定</w:t>
      </w:r>
      <w:bookmarkEnd w:id="94"/>
      <w:bookmarkEnd w:id="95"/>
    </w:p>
    <w:p w14:paraId="37179CFD">
      <w:pPr>
        <w:adjustRightInd w:val="0"/>
        <w:snapToGrid w:val="0"/>
        <w:spacing w:before="156" w:beforeLines="50" w:line="360" w:lineRule="auto"/>
        <w:ind w:firstLine="420"/>
        <w:jc w:val="left"/>
        <w:outlineLvl w:val="9"/>
        <w:rPr>
          <w:rFonts w:hint="eastAsia" w:ascii="宋体" w:hAnsi="宋体" w:eastAsia="宋体" w:cs="宋体"/>
          <w:b w:val="0"/>
          <w:bCs w:val="0"/>
          <w:color w:val="auto"/>
          <w:kern w:val="0"/>
          <w:sz w:val="21"/>
          <w:szCs w:val="21"/>
          <w:highlight w:val="none"/>
        </w:rPr>
      </w:pPr>
      <w:bookmarkStart w:id="96" w:name="_Toc107997865"/>
      <w:bookmarkStart w:id="97" w:name="_Toc107997992"/>
      <w:r>
        <w:rPr>
          <w:rFonts w:hint="eastAsia" w:ascii="宋体" w:hAnsi="宋体" w:eastAsia="宋体" w:cs="宋体"/>
          <w:b w:val="0"/>
          <w:bCs w:val="0"/>
          <w:color w:val="auto"/>
          <w:sz w:val="21"/>
          <w:szCs w:val="21"/>
          <w:highlight w:val="none"/>
        </w:rPr>
        <w:t>23.1</w:t>
      </w:r>
      <w:r>
        <w:rPr>
          <w:rFonts w:ascii="Arial" w:hAnsi="Arial" w:cs="Arial"/>
          <w:b w:val="0"/>
          <w:bCs w:val="0"/>
          <w:color w:val="auto"/>
          <w:kern w:val="0"/>
          <w:szCs w:val="21"/>
          <w:highlight w:val="none"/>
        </w:rPr>
        <w:t>磋商小组所有成员应当集中与单一供应商分别进行磋商，并给予所有参加磋商的供应商平等的磋商机会。</w:t>
      </w:r>
    </w:p>
    <w:p w14:paraId="09EBC21E">
      <w:pPr>
        <w:adjustRightInd w:val="0"/>
        <w:snapToGrid w:val="0"/>
        <w:spacing w:before="156" w:beforeLines="50" w:line="360" w:lineRule="auto"/>
        <w:ind w:firstLine="420"/>
        <w:jc w:val="left"/>
        <w:outlineLvl w:val="9"/>
        <w:rPr>
          <w:rFonts w:hint="eastAsia" w:ascii="Arial" w:hAnsi="Arial" w:cs="Arial"/>
          <w:b w:val="0"/>
          <w:bCs w:val="0"/>
          <w:color w:val="auto"/>
          <w:kern w:val="0"/>
          <w:szCs w:val="21"/>
          <w:highlight w:val="none"/>
          <w:lang w:eastAsia="zh-CN"/>
        </w:rPr>
      </w:pPr>
      <w:r>
        <w:rPr>
          <w:rFonts w:hint="eastAsia" w:ascii="宋体" w:hAnsi="宋体" w:eastAsia="宋体" w:cs="宋体"/>
          <w:b w:val="0"/>
          <w:bCs w:val="0"/>
          <w:color w:val="auto"/>
          <w:sz w:val="21"/>
          <w:szCs w:val="21"/>
          <w:highlight w:val="none"/>
        </w:rPr>
        <w:t>23.2</w:t>
      </w:r>
      <w:r>
        <w:rPr>
          <w:rFonts w:hint="eastAsia" w:ascii="Arial" w:hAnsi="Arial" w:cs="Arial"/>
          <w:b w:val="0"/>
          <w:bCs w:val="0"/>
          <w:color w:val="auto"/>
          <w:kern w:val="0"/>
          <w:szCs w:val="21"/>
          <w:highlight w:val="none"/>
        </w:rPr>
        <w:t>在</w:t>
      </w:r>
      <w:r>
        <w:rPr>
          <w:rFonts w:hint="eastAsia" w:ascii="Arial" w:hAnsi="Arial" w:cs="Arial"/>
          <w:b w:val="0"/>
          <w:bCs w:val="0"/>
          <w:color w:val="auto"/>
          <w:kern w:val="0"/>
          <w:szCs w:val="21"/>
          <w:highlight w:val="none"/>
          <w:lang w:eastAsia="zh-CN"/>
        </w:rPr>
        <w:t>磋商</w:t>
      </w:r>
      <w:r>
        <w:rPr>
          <w:rFonts w:hint="eastAsia" w:ascii="Arial" w:hAnsi="Arial" w:cs="Arial"/>
          <w:b w:val="0"/>
          <w:bCs w:val="0"/>
          <w:color w:val="auto"/>
          <w:kern w:val="0"/>
          <w:szCs w:val="21"/>
          <w:highlight w:val="none"/>
        </w:rPr>
        <w:t>过程中，</w:t>
      </w:r>
      <w:r>
        <w:rPr>
          <w:rFonts w:hint="eastAsia" w:ascii="Arial" w:hAnsi="Arial" w:cs="Arial"/>
          <w:b w:val="0"/>
          <w:bCs w:val="0"/>
          <w:color w:val="auto"/>
          <w:kern w:val="0"/>
          <w:szCs w:val="21"/>
          <w:highlight w:val="none"/>
          <w:lang w:eastAsia="zh-CN"/>
        </w:rPr>
        <w:t>磋商</w:t>
      </w:r>
      <w:r>
        <w:rPr>
          <w:rFonts w:hint="eastAsia" w:ascii="Arial" w:hAnsi="Arial" w:cs="Arial"/>
          <w:b w:val="0"/>
          <w:bCs w:val="0"/>
          <w:color w:val="auto"/>
          <w:kern w:val="0"/>
          <w:szCs w:val="21"/>
          <w:highlight w:val="none"/>
        </w:rPr>
        <w:t>小组可以根据</w:t>
      </w:r>
      <w:r>
        <w:rPr>
          <w:rFonts w:hint="eastAsia" w:ascii="Arial" w:hAnsi="Arial" w:cs="Arial"/>
          <w:b w:val="0"/>
          <w:bCs w:val="0"/>
          <w:color w:val="auto"/>
          <w:kern w:val="0"/>
          <w:szCs w:val="21"/>
          <w:highlight w:val="none"/>
          <w:lang w:eastAsia="zh-CN"/>
        </w:rPr>
        <w:t>磋商</w:t>
      </w:r>
      <w:r>
        <w:rPr>
          <w:rFonts w:hint="eastAsia" w:ascii="Arial" w:hAnsi="Arial" w:cs="Arial"/>
          <w:b w:val="0"/>
          <w:bCs w:val="0"/>
          <w:color w:val="auto"/>
          <w:kern w:val="0"/>
          <w:szCs w:val="21"/>
          <w:highlight w:val="none"/>
        </w:rPr>
        <w:t>文件和</w:t>
      </w:r>
      <w:r>
        <w:rPr>
          <w:rFonts w:hint="eastAsia" w:ascii="Arial" w:hAnsi="Arial" w:cs="Arial"/>
          <w:b w:val="0"/>
          <w:bCs w:val="0"/>
          <w:color w:val="auto"/>
          <w:kern w:val="0"/>
          <w:szCs w:val="21"/>
          <w:highlight w:val="none"/>
          <w:lang w:eastAsia="zh-CN"/>
        </w:rPr>
        <w:t>磋商</w:t>
      </w:r>
      <w:r>
        <w:rPr>
          <w:rFonts w:hint="eastAsia" w:ascii="Arial" w:hAnsi="Arial" w:cs="Arial"/>
          <w:b w:val="0"/>
          <w:bCs w:val="0"/>
          <w:color w:val="auto"/>
          <w:kern w:val="0"/>
          <w:szCs w:val="21"/>
          <w:highlight w:val="none"/>
        </w:rPr>
        <w:t>情况实质性变动技术标准及要求中的技术、服务要求以及合同草案条款，但不得变动</w:t>
      </w:r>
      <w:r>
        <w:rPr>
          <w:rFonts w:hint="eastAsia" w:ascii="Arial" w:hAnsi="Arial" w:cs="Arial"/>
          <w:b w:val="0"/>
          <w:bCs w:val="0"/>
          <w:color w:val="auto"/>
          <w:kern w:val="0"/>
          <w:szCs w:val="21"/>
          <w:highlight w:val="none"/>
          <w:lang w:eastAsia="zh-CN"/>
        </w:rPr>
        <w:t>磋商</w:t>
      </w:r>
      <w:r>
        <w:rPr>
          <w:rFonts w:hint="eastAsia" w:ascii="Arial" w:hAnsi="Arial" w:cs="Arial"/>
          <w:b w:val="0"/>
          <w:bCs w:val="0"/>
          <w:color w:val="auto"/>
          <w:kern w:val="0"/>
          <w:szCs w:val="21"/>
          <w:highlight w:val="none"/>
        </w:rPr>
        <w:t>文件中的其他内容。实质性变动的内容，须经采购人代表确认</w:t>
      </w:r>
      <w:r>
        <w:rPr>
          <w:rFonts w:hint="eastAsia" w:ascii="Arial" w:hAnsi="Arial" w:cs="Arial"/>
          <w:b w:val="0"/>
          <w:bCs w:val="0"/>
          <w:color w:val="auto"/>
          <w:kern w:val="0"/>
          <w:szCs w:val="21"/>
          <w:highlight w:val="none"/>
          <w:lang w:eastAsia="zh-CN"/>
        </w:rPr>
        <w:t>。</w:t>
      </w:r>
    </w:p>
    <w:p w14:paraId="68802B1B">
      <w:pPr>
        <w:adjustRightInd w:val="0"/>
        <w:snapToGrid w:val="0"/>
        <w:spacing w:before="156" w:beforeLines="50" w:line="360" w:lineRule="auto"/>
        <w:ind w:firstLine="420"/>
        <w:jc w:val="left"/>
        <w:outlineLvl w:val="9"/>
        <w:rPr>
          <w:rFonts w:ascii="Arial" w:hAnsi="Arial" w:cs="Arial"/>
          <w:b w:val="0"/>
          <w:bCs w:val="0"/>
          <w:color w:val="auto"/>
          <w:kern w:val="0"/>
          <w:szCs w:val="21"/>
          <w:highlight w:val="none"/>
        </w:rPr>
      </w:pPr>
      <w:r>
        <w:rPr>
          <w:rFonts w:ascii="Arial" w:hAnsi="Arial" w:cs="Arial"/>
          <w:b w:val="0"/>
          <w:bCs w:val="0"/>
          <w:color w:val="auto"/>
          <w:kern w:val="0"/>
          <w:szCs w:val="21"/>
          <w:highlight w:val="none"/>
        </w:rPr>
        <w:t>对磋商文件作出的实质性变动是磋商文件的有效组成部分，磋商小组应当及时以书面形式同时通知所有参加磋商的供应商。</w:t>
      </w:r>
    </w:p>
    <w:p w14:paraId="6AE902A5">
      <w:pPr>
        <w:adjustRightInd w:val="0"/>
        <w:snapToGrid w:val="0"/>
        <w:spacing w:before="156" w:beforeLines="50" w:line="360" w:lineRule="auto"/>
        <w:ind w:firstLine="420"/>
        <w:jc w:val="left"/>
        <w:outlineLvl w:val="9"/>
        <w:rPr>
          <w:rFonts w:ascii="Arial" w:hAnsi="Arial" w:cs="Arial"/>
          <w:b w:val="0"/>
          <w:bCs w:val="0"/>
          <w:color w:val="auto"/>
          <w:kern w:val="0"/>
          <w:szCs w:val="21"/>
          <w:highlight w:val="none"/>
        </w:rPr>
      </w:pPr>
      <w:r>
        <w:rPr>
          <w:rFonts w:ascii="Arial" w:hAnsi="Arial" w:cs="Arial"/>
          <w:b w:val="0"/>
          <w:bCs w:val="0"/>
          <w:color w:val="auto"/>
          <w:kern w:val="0"/>
          <w:szCs w:val="21"/>
          <w:highlight w:val="none"/>
        </w:rPr>
        <w:t>供应商应当按照磋商文件的变动情况和磋商小组的要求重新提交响应文件，并由其</w:t>
      </w:r>
      <w:r>
        <w:rPr>
          <w:rFonts w:hint="eastAsia" w:ascii="Arial" w:hAnsi="Arial" w:cs="Arial"/>
          <w:b w:val="0"/>
          <w:bCs w:val="0"/>
          <w:color w:val="auto"/>
          <w:kern w:val="0"/>
          <w:szCs w:val="21"/>
          <w:highlight w:val="none"/>
          <w:lang w:eastAsia="zh-CN"/>
        </w:rPr>
        <w:t>供应商</w:t>
      </w:r>
      <w:r>
        <w:rPr>
          <w:rFonts w:ascii="Arial" w:hAnsi="Arial" w:cs="Arial"/>
          <w:b w:val="0"/>
          <w:bCs w:val="0"/>
          <w:color w:val="auto"/>
          <w:kern w:val="0"/>
          <w:szCs w:val="21"/>
          <w:highlight w:val="none"/>
        </w:rPr>
        <w:t>代表签字或者加盖</w:t>
      </w:r>
      <w:r>
        <w:rPr>
          <w:rFonts w:hint="eastAsia" w:ascii="Arial" w:hAnsi="Arial" w:cs="Arial"/>
          <w:b w:val="0"/>
          <w:bCs w:val="0"/>
          <w:color w:val="auto"/>
          <w:kern w:val="0"/>
          <w:szCs w:val="21"/>
          <w:highlight w:val="none"/>
        </w:rPr>
        <w:t>供应商单位</w:t>
      </w:r>
      <w:r>
        <w:rPr>
          <w:rFonts w:ascii="Arial" w:hAnsi="Arial" w:cs="Arial"/>
          <w:b w:val="0"/>
          <w:bCs w:val="0"/>
          <w:color w:val="auto"/>
          <w:kern w:val="0"/>
          <w:szCs w:val="21"/>
          <w:highlight w:val="none"/>
        </w:rPr>
        <w:t>公章。供应商为自然人的，应当由本人签字并附身份证明。</w:t>
      </w:r>
    </w:p>
    <w:p w14:paraId="03A601AA">
      <w:pPr>
        <w:adjustRightInd w:val="0"/>
        <w:snapToGrid w:val="0"/>
        <w:spacing w:before="156" w:beforeLines="50" w:line="360" w:lineRule="auto"/>
        <w:ind w:firstLine="420" w:firstLineChars="200"/>
        <w:jc w:val="left"/>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23.</w:t>
      </w:r>
      <w:r>
        <w:rPr>
          <w:rFonts w:hint="eastAsia" w:ascii="宋体" w:hAnsi="宋体" w:eastAsia="宋体" w:cs="宋体"/>
          <w:b w:val="0"/>
          <w:bCs w:val="0"/>
          <w:color w:val="auto"/>
          <w:kern w:val="0"/>
          <w:sz w:val="21"/>
          <w:szCs w:val="21"/>
          <w:highlight w:val="none"/>
          <w:lang w:val="en-US" w:eastAsia="zh-CN"/>
        </w:rPr>
        <w:t>3</w:t>
      </w:r>
      <w:r>
        <w:rPr>
          <w:rFonts w:hint="eastAsia" w:ascii="宋体" w:hAnsi="宋体" w:eastAsia="宋体" w:cs="宋体"/>
          <w:b w:val="0"/>
          <w:bCs w:val="0"/>
          <w:color w:val="auto"/>
          <w:kern w:val="0"/>
          <w:sz w:val="21"/>
          <w:szCs w:val="21"/>
          <w:highlight w:val="none"/>
        </w:rPr>
        <w:t>每轮</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中，参加</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的供应商代表应认真、准确、完整地记录</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小组提出的问题和要求。重新提交的响应文件应当对</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小组书面通知提出的要求和条件作出明确响应，并由供应商代表签字或者加盖供应商单位公章。</w:t>
      </w:r>
    </w:p>
    <w:p w14:paraId="4DCA9025">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24.退出</w:t>
      </w:r>
      <w:bookmarkEnd w:id="96"/>
      <w:bookmarkEnd w:id="97"/>
      <w:r>
        <w:rPr>
          <w:rFonts w:hint="eastAsia" w:ascii="宋体" w:hAnsi="宋体" w:eastAsia="宋体" w:cs="宋体"/>
          <w:b/>
          <w:bCs/>
          <w:color w:val="auto"/>
          <w:sz w:val="22"/>
          <w:szCs w:val="22"/>
          <w:lang w:val="en-US" w:eastAsia="zh-CN"/>
        </w:rPr>
        <w:t>磋商</w:t>
      </w:r>
    </w:p>
    <w:p w14:paraId="32E4A05D">
      <w:pPr>
        <w:adjustRightInd w:val="0"/>
        <w:snapToGrid w:val="0"/>
        <w:spacing w:before="156" w:beforeLines="50" w:line="360" w:lineRule="auto"/>
        <w:ind w:firstLine="420"/>
        <w:jc w:val="left"/>
        <w:outlineLvl w:val="9"/>
        <w:rPr>
          <w:rFonts w:hint="eastAsia" w:ascii="宋体" w:hAnsi="宋体" w:eastAsia="宋体" w:cs="宋体"/>
          <w:b w:val="0"/>
          <w:bCs w:val="0"/>
          <w:color w:val="auto"/>
          <w:kern w:val="0"/>
          <w:sz w:val="21"/>
          <w:szCs w:val="21"/>
          <w:highlight w:val="none"/>
        </w:rPr>
      </w:pPr>
      <w:bookmarkStart w:id="98" w:name="_Toc107997993"/>
      <w:bookmarkStart w:id="99" w:name="_Toc107997866"/>
      <w:r>
        <w:rPr>
          <w:rFonts w:hint="eastAsia" w:ascii="宋体" w:hAnsi="宋体" w:eastAsia="宋体" w:cs="宋体"/>
          <w:b w:val="0"/>
          <w:bCs w:val="0"/>
          <w:color w:val="auto"/>
          <w:kern w:val="0"/>
          <w:sz w:val="21"/>
          <w:szCs w:val="21"/>
          <w:highlight w:val="none"/>
        </w:rPr>
        <w:t>24.1供应商在提交最后报价之前，可以根据</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情况退出</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，并书面通知采购人、采购代理机构或者</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w:t>
      </w:r>
      <w:r>
        <w:rPr>
          <w:rFonts w:hint="eastAsia" w:ascii="宋体" w:hAnsi="宋体" w:eastAsia="宋体" w:cs="宋体"/>
          <w:b w:val="0"/>
          <w:bCs w:val="0"/>
          <w:color w:val="auto"/>
          <w:sz w:val="21"/>
          <w:szCs w:val="21"/>
          <w:highlight w:val="none"/>
        </w:rPr>
        <w:t>该通知由供应商代表签字。采购人、</w:t>
      </w:r>
      <w:r>
        <w:rPr>
          <w:rFonts w:hint="eastAsia" w:ascii="宋体" w:hAnsi="宋体" w:eastAsia="宋体" w:cs="宋体"/>
          <w:b w:val="0"/>
          <w:bCs w:val="0"/>
          <w:color w:val="auto"/>
          <w:kern w:val="0"/>
          <w:sz w:val="21"/>
          <w:szCs w:val="21"/>
          <w:highlight w:val="none"/>
        </w:rPr>
        <w:t>采购代理机构按本章第</w:t>
      </w:r>
      <w:r>
        <w:rPr>
          <w:rFonts w:hint="eastAsia" w:ascii="宋体" w:hAnsi="宋体" w:eastAsia="宋体" w:cs="宋体"/>
          <w:b w:val="0"/>
          <w:bCs w:val="0"/>
          <w:color w:val="auto"/>
          <w:sz w:val="21"/>
          <w:szCs w:val="21"/>
          <w:highlight w:val="none"/>
        </w:rPr>
        <w:t>11.4</w:t>
      </w:r>
      <w:r>
        <w:rPr>
          <w:rFonts w:hint="eastAsia" w:ascii="宋体" w:hAnsi="宋体" w:eastAsia="宋体" w:cs="宋体"/>
          <w:b w:val="0"/>
          <w:bCs w:val="0"/>
          <w:color w:val="auto"/>
          <w:kern w:val="0"/>
          <w:sz w:val="21"/>
          <w:szCs w:val="21"/>
          <w:highlight w:val="none"/>
          <w:lang w:val="zh-CN"/>
        </w:rPr>
        <w:t>款</w:t>
      </w:r>
      <w:r>
        <w:rPr>
          <w:rFonts w:hint="eastAsia" w:ascii="宋体" w:hAnsi="宋体" w:eastAsia="宋体" w:cs="宋体"/>
          <w:b w:val="0"/>
          <w:bCs w:val="0"/>
          <w:color w:val="auto"/>
          <w:sz w:val="21"/>
          <w:szCs w:val="21"/>
          <w:highlight w:val="none"/>
        </w:rPr>
        <w:t>规定</w:t>
      </w:r>
      <w:r>
        <w:rPr>
          <w:rFonts w:hint="eastAsia" w:ascii="宋体" w:hAnsi="宋体" w:eastAsia="宋体" w:cs="宋体"/>
          <w:b w:val="0"/>
          <w:bCs w:val="0"/>
          <w:color w:val="auto"/>
          <w:kern w:val="0"/>
          <w:sz w:val="21"/>
          <w:szCs w:val="21"/>
          <w:highlight w:val="none"/>
        </w:rPr>
        <w:t>退还退出</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的供应商的保证金。</w:t>
      </w:r>
    </w:p>
    <w:p w14:paraId="631C97CE">
      <w:pPr>
        <w:adjustRightInd w:val="0"/>
        <w:snapToGrid w:val="0"/>
        <w:spacing w:before="156" w:beforeLines="50" w:line="360" w:lineRule="auto"/>
        <w:ind w:firstLine="420"/>
        <w:jc w:val="left"/>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24.2供应商参与</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，但未提交最后报价又未按前款规定退出</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的，保证金不予退还。</w:t>
      </w:r>
    </w:p>
    <w:p w14:paraId="04B89CA7">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25.最后报价</w:t>
      </w:r>
      <w:bookmarkEnd w:id="98"/>
      <w:bookmarkEnd w:id="99"/>
    </w:p>
    <w:p w14:paraId="709C2A44">
      <w:pPr>
        <w:widowControl/>
        <w:adjustRightInd w:val="0"/>
        <w:snapToGrid w:val="0"/>
        <w:spacing w:line="360" w:lineRule="auto"/>
        <w:ind w:firstLine="420"/>
        <w:jc w:val="left"/>
        <w:outlineLvl w:val="9"/>
        <w:rPr>
          <w:rFonts w:hint="eastAsia" w:ascii="宋体" w:hAnsi="宋体" w:eastAsia="宋体" w:cs="宋体"/>
          <w:b w:val="0"/>
          <w:bCs w:val="0"/>
          <w:color w:val="auto"/>
          <w:kern w:val="0"/>
          <w:sz w:val="21"/>
          <w:szCs w:val="21"/>
          <w:highlight w:val="none"/>
        </w:rPr>
      </w:pPr>
      <w:bookmarkStart w:id="100" w:name="_Toc107997994"/>
      <w:bookmarkStart w:id="101" w:name="_Toc107997867"/>
      <w:r>
        <w:rPr>
          <w:rFonts w:hint="eastAsia" w:ascii="宋体" w:hAnsi="宋体" w:eastAsia="宋体" w:cs="宋体"/>
          <w:b w:val="0"/>
          <w:bCs w:val="0"/>
          <w:color w:val="auto"/>
          <w:kern w:val="0"/>
          <w:sz w:val="21"/>
          <w:szCs w:val="21"/>
          <w:highlight w:val="none"/>
        </w:rPr>
        <w:t>25.1</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结束后，</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小组按本章第21.2款规定对响应文件或重新提交的响应文件进行审查。响应文件不符合</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文件规定的实质性要求和条件的，</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小组不得要求供应商提交最后报价，也不得接受供应商提交的最后报价。符合</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文件规定的实质性要求和条件的供应商不少于3家的，</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小组应当要求符合</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文件规定的实质性要求和条件的供应商在规定时间内提交最后报价。最后报价应由供应商代表签字或者加盖供应商单位公章。</w:t>
      </w:r>
    </w:p>
    <w:p w14:paraId="09C29430">
      <w:pPr>
        <w:adjustRightInd w:val="0"/>
        <w:snapToGrid w:val="0"/>
        <w:spacing w:line="360" w:lineRule="auto"/>
        <w:ind w:firstLine="420" w:firstLineChars="200"/>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（1）</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文件能够详细列明采购</w:t>
      </w:r>
      <w:r>
        <w:rPr>
          <w:rFonts w:hint="eastAsia" w:ascii="宋体" w:hAnsi="宋体" w:eastAsia="宋体" w:cs="宋体"/>
          <w:b w:val="0"/>
          <w:bCs w:val="0"/>
          <w:color w:val="auto"/>
          <w:kern w:val="0"/>
          <w:sz w:val="21"/>
          <w:szCs w:val="21"/>
          <w:highlight w:val="none"/>
          <w:lang w:eastAsia="zh-CN"/>
        </w:rPr>
        <w:t>标的</w:t>
      </w:r>
      <w:r>
        <w:rPr>
          <w:rFonts w:hint="eastAsia" w:ascii="宋体" w:hAnsi="宋体" w:eastAsia="宋体" w:cs="宋体"/>
          <w:b w:val="0"/>
          <w:bCs w:val="0"/>
          <w:color w:val="auto"/>
          <w:kern w:val="0"/>
          <w:sz w:val="21"/>
          <w:szCs w:val="21"/>
          <w:highlight w:val="none"/>
        </w:rPr>
        <w:t>的技术、服务要求的，</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结束后，</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小组应当要求所有供应商在规定时间内提交最后报价。</w:t>
      </w:r>
    </w:p>
    <w:p w14:paraId="74A4F942">
      <w:pPr>
        <w:widowControl/>
        <w:adjustRightInd w:val="0"/>
        <w:snapToGrid w:val="0"/>
        <w:spacing w:line="360" w:lineRule="auto"/>
        <w:ind w:firstLine="420"/>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（2）</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文件不能详细列明采购</w:t>
      </w:r>
      <w:r>
        <w:rPr>
          <w:rFonts w:hint="eastAsia" w:ascii="宋体" w:hAnsi="宋体" w:eastAsia="宋体" w:cs="宋体"/>
          <w:b w:val="0"/>
          <w:bCs w:val="0"/>
          <w:color w:val="auto"/>
          <w:kern w:val="0"/>
          <w:sz w:val="21"/>
          <w:szCs w:val="21"/>
          <w:highlight w:val="none"/>
          <w:lang w:eastAsia="zh-CN"/>
        </w:rPr>
        <w:t>标的</w:t>
      </w:r>
      <w:r>
        <w:rPr>
          <w:rFonts w:hint="eastAsia" w:ascii="宋体" w:hAnsi="宋体" w:eastAsia="宋体" w:cs="宋体"/>
          <w:b w:val="0"/>
          <w:bCs w:val="0"/>
          <w:color w:val="auto"/>
          <w:kern w:val="0"/>
          <w:sz w:val="21"/>
          <w:szCs w:val="21"/>
          <w:highlight w:val="none"/>
        </w:rPr>
        <w:t>的技术、服务要求，需经</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由供应商提供最终设计方案或解决方案的，</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结束后，</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小组应当按照少数服从多数的原则投票推荐3家以上供应商的设计方案或者解决方案，并要求其在规定时间内提交最后报价。</w:t>
      </w:r>
    </w:p>
    <w:p w14:paraId="707B7E7D">
      <w:pPr>
        <w:widowControl/>
        <w:adjustRightInd w:val="0"/>
        <w:snapToGrid w:val="0"/>
        <w:spacing w:line="360" w:lineRule="auto"/>
        <w:ind w:firstLine="420"/>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最后报价是供应商响应文件的有效组成部分。符合</w:t>
      </w:r>
      <w:r>
        <w:rPr>
          <w:rFonts w:hint="eastAsia" w:ascii="宋体" w:hAnsi="宋体" w:eastAsia="宋体" w:cs="宋体"/>
          <w:b w:val="0"/>
          <w:bCs w:val="0"/>
          <w:color w:val="auto"/>
          <w:kern w:val="0"/>
          <w:sz w:val="21"/>
          <w:szCs w:val="21"/>
          <w:highlight w:val="none"/>
          <w:lang w:eastAsia="zh-CN"/>
        </w:rPr>
        <w:t>《政府采购竞争性磋商采购方式管理暂行办法》</w:t>
      </w:r>
      <w:r>
        <w:rPr>
          <w:rFonts w:hint="eastAsia" w:ascii="宋体" w:hAnsi="宋体" w:eastAsia="宋体" w:cs="宋体"/>
          <w:b w:val="0"/>
          <w:bCs w:val="0"/>
          <w:color w:val="auto"/>
          <w:kern w:val="0"/>
          <w:sz w:val="21"/>
          <w:szCs w:val="21"/>
          <w:highlight w:val="none"/>
        </w:rPr>
        <w:t>第三条第四项情形的，提交最后报价的供应商可以为2家。</w:t>
      </w:r>
    </w:p>
    <w:p w14:paraId="727D0A6B">
      <w:pPr>
        <w:widowControl/>
        <w:adjustRightInd w:val="0"/>
        <w:snapToGrid w:val="0"/>
        <w:spacing w:line="360" w:lineRule="auto"/>
        <w:ind w:firstLine="420" w:firstLineChars="200"/>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25.2下列情形，</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小组确认符合</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文件规定的实质性要求和条件的供应商不少于3家，可以不与供应商</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，直接要求符合</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文件规定的实质性要求和条件的供应商提交最后报价。</w:t>
      </w:r>
    </w:p>
    <w:p w14:paraId="1DF01F3B">
      <w:pPr>
        <w:widowControl/>
        <w:adjustRightInd w:val="0"/>
        <w:snapToGrid w:val="0"/>
        <w:spacing w:line="360" w:lineRule="auto"/>
        <w:ind w:firstLine="420"/>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（1）</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文件未明确可能实质性变动的；</w:t>
      </w:r>
    </w:p>
    <w:p w14:paraId="6BAF4B14">
      <w:pPr>
        <w:widowControl/>
        <w:adjustRightInd w:val="0"/>
        <w:snapToGrid w:val="0"/>
        <w:spacing w:line="360" w:lineRule="auto"/>
        <w:ind w:firstLine="420"/>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（2）</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文件明确可能实质性变动，但</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小组对供应商提交的首次响应文件的有效性、完整性和响应程度进行审查后，认为</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文件不需发生实质性变动、不需要</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的。</w:t>
      </w:r>
    </w:p>
    <w:p w14:paraId="7CCC2345">
      <w:pPr>
        <w:widowControl/>
        <w:adjustRightInd w:val="0"/>
        <w:snapToGrid w:val="0"/>
        <w:spacing w:line="360" w:lineRule="auto"/>
        <w:ind w:firstLine="420" w:firstLineChars="200"/>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2</w:t>
      </w:r>
      <w:r>
        <w:rPr>
          <w:rFonts w:hint="eastAsia" w:ascii="宋体" w:hAnsi="宋体" w:eastAsia="宋体" w:cs="宋体"/>
          <w:b w:val="0"/>
          <w:bCs w:val="0"/>
          <w:color w:val="auto"/>
          <w:kern w:val="0"/>
          <w:sz w:val="21"/>
          <w:szCs w:val="21"/>
          <w:highlight w:val="none"/>
          <w:lang w:val="en-US" w:eastAsia="zh-CN"/>
        </w:rPr>
        <w:t>5.3</w:t>
      </w:r>
      <w:r>
        <w:rPr>
          <w:rFonts w:hint="eastAsia" w:ascii="宋体" w:hAnsi="宋体" w:eastAsia="宋体" w:cs="宋体"/>
          <w:b w:val="0"/>
          <w:bCs w:val="0"/>
          <w:color w:val="auto"/>
          <w:kern w:val="0"/>
          <w:sz w:val="21"/>
          <w:szCs w:val="21"/>
          <w:highlight w:val="none"/>
        </w:rPr>
        <w:t>经磋商确定最终采购需求和提交最后报价的供应商后，由磋商小组采用综合评分法对提交最后报价的供应商的响应文件和最后报价进行综合评分。</w:t>
      </w:r>
    </w:p>
    <w:p w14:paraId="41886530">
      <w:pPr>
        <w:widowControl/>
        <w:adjustRightInd w:val="0"/>
        <w:snapToGrid w:val="0"/>
        <w:spacing w:line="360" w:lineRule="auto"/>
        <w:ind w:firstLine="420" w:firstLineChars="200"/>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综合评分法，是指响应文件满足磋商文件全部实质性要求且按评审因素的量化指标评审得分最高的供应商为成交候选供应商的评审方法。</w:t>
      </w:r>
    </w:p>
    <w:p w14:paraId="5A897482">
      <w:pPr>
        <w:widowControl/>
        <w:adjustRightInd w:val="0"/>
        <w:snapToGrid w:val="0"/>
        <w:spacing w:line="360" w:lineRule="auto"/>
        <w:ind w:firstLine="420" w:firstLineChars="200"/>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评审时，磋商小组各成员应当独立对每个有效响应的文件进行评价、</w:t>
      </w:r>
      <w:r>
        <w:rPr>
          <w:rFonts w:hint="eastAsia" w:ascii="宋体" w:hAnsi="宋体" w:eastAsia="宋体" w:cs="宋体"/>
          <w:b w:val="0"/>
          <w:bCs w:val="0"/>
          <w:color w:val="auto"/>
          <w:kern w:val="0"/>
          <w:sz w:val="21"/>
          <w:szCs w:val="21"/>
          <w:highlight w:val="none"/>
          <w:lang w:val="en-US" w:eastAsia="zh-CN"/>
        </w:rPr>
        <w:t>打</w:t>
      </w:r>
      <w:r>
        <w:rPr>
          <w:rFonts w:hint="eastAsia" w:ascii="宋体" w:hAnsi="宋体" w:eastAsia="宋体" w:cs="宋体"/>
          <w:b w:val="0"/>
          <w:bCs w:val="0"/>
          <w:color w:val="auto"/>
          <w:kern w:val="0"/>
          <w:sz w:val="21"/>
          <w:szCs w:val="21"/>
          <w:highlight w:val="none"/>
        </w:rPr>
        <w:t>分，然后汇总每个供应商每项评分因素的得分。</w:t>
      </w:r>
    </w:p>
    <w:p w14:paraId="6E6FD4C4">
      <w:pPr>
        <w:widowControl/>
        <w:adjustRightInd w:val="0"/>
        <w:snapToGrid w:val="0"/>
        <w:spacing w:line="360" w:lineRule="auto"/>
        <w:ind w:firstLine="420" w:firstLineChars="200"/>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综合评分法中的价格分统一采用低价优先法计算，即满足磋商文件要求且最后报价最低的供应商的价格为磋商基准价，其价格分为满分。其他供应商的价格分统一按照下列公式计算：</w:t>
      </w:r>
    </w:p>
    <w:p w14:paraId="79AC115C">
      <w:pPr>
        <w:widowControl/>
        <w:adjustRightInd w:val="0"/>
        <w:snapToGrid w:val="0"/>
        <w:spacing w:line="360" w:lineRule="auto"/>
        <w:ind w:firstLine="420" w:firstLineChars="200"/>
        <w:jc w:val="left"/>
        <w:rPr>
          <w:rFonts w:hint="eastAsia" w:ascii="宋体" w:hAnsi="宋体" w:eastAsia="宋体" w:cs="宋体"/>
          <w:b w:val="0"/>
          <w:bCs w:val="0"/>
          <w:color w:val="auto"/>
          <w:kern w:val="0"/>
          <w:sz w:val="21"/>
          <w:szCs w:val="21"/>
          <w:highlight w:val="green"/>
        </w:rPr>
      </w:pPr>
      <w:r>
        <w:rPr>
          <w:rFonts w:hint="eastAsia" w:ascii="宋体" w:hAnsi="宋体" w:eastAsia="宋体" w:cs="宋体"/>
          <w:b w:val="0"/>
          <w:bCs w:val="0"/>
          <w:color w:val="auto"/>
          <w:kern w:val="0"/>
          <w:sz w:val="21"/>
          <w:szCs w:val="21"/>
          <w:highlight w:val="none"/>
        </w:rPr>
        <w:t>磋商报价得分=（</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基准价调整／</w:t>
      </w:r>
      <w:r>
        <w:rPr>
          <w:rFonts w:hint="eastAsia" w:ascii="宋体" w:hAnsi="宋体" w:eastAsia="宋体" w:cs="宋体"/>
          <w:b w:val="0"/>
          <w:bCs w:val="0"/>
          <w:color w:val="auto"/>
          <w:kern w:val="0"/>
          <w:sz w:val="21"/>
          <w:szCs w:val="21"/>
          <w:highlight w:val="none"/>
          <w:lang w:eastAsia="zh-CN"/>
        </w:rPr>
        <w:t>最后磋商</w:t>
      </w:r>
      <w:r>
        <w:rPr>
          <w:rFonts w:hint="eastAsia" w:ascii="宋体" w:hAnsi="宋体" w:eastAsia="宋体" w:cs="宋体"/>
          <w:b w:val="0"/>
          <w:bCs w:val="0"/>
          <w:color w:val="auto"/>
          <w:kern w:val="0"/>
          <w:sz w:val="21"/>
          <w:szCs w:val="21"/>
          <w:highlight w:val="none"/>
        </w:rPr>
        <w:t>报价调整）×价格权值</w:t>
      </w:r>
    </w:p>
    <w:p w14:paraId="75B68ED0">
      <w:pPr>
        <w:widowControl/>
        <w:adjustRightInd w:val="0"/>
        <w:snapToGrid w:val="0"/>
        <w:spacing w:line="360" w:lineRule="auto"/>
        <w:ind w:firstLine="420" w:firstLineChars="200"/>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项目评审过程中，不得去掉最后报价中的最高报价和最低报价。</w:t>
      </w:r>
    </w:p>
    <w:p w14:paraId="2737B297">
      <w:pPr>
        <w:widowControl/>
        <w:adjustRightInd w:val="0"/>
        <w:snapToGrid w:val="0"/>
        <w:spacing w:line="360" w:lineRule="auto"/>
        <w:ind w:firstLine="420" w:firstLineChars="200"/>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25.</w:t>
      </w:r>
      <w:r>
        <w:rPr>
          <w:rFonts w:hint="eastAsia" w:ascii="宋体" w:hAnsi="宋体" w:eastAsia="宋体" w:cs="宋体"/>
          <w:b w:val="0"/>
          <w:bCs w:val="0"/>
          <w:color w:val="auto"/>
          <w:kern w:val="0"/>
          <w:sz w:val="21"/>
          <w:szCs w:val="21"/>
          <w:highlight w:val="none"/>
          <w:lang w:val="en-US" w:eastAsia="zh-CN"/>
        </w:rPr>
        <w:t>4</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小组应召集所有提交最后报价的供应商，逐一</w:t>
      </w:r>
      <w:r>
        <w:rPr>
          <w:rFonts w:hint="eastAsia" w:ascii="宋体" w:hAnsi="宋体" w:eastAsia="宋体" w:cs="宋体"/>
          <w:b w:val="0"/>
          <w:bCs w:val="0"/>
          <w:color w:val="auto"/>
          <w:sz w:val="21"/>
          <w:szCs w:val="21"/>
          <w:highlight w:val="none"/>
        </w:rPr>
        <w:t>公布</w:t>
      </w:r>
      <w:r>
        <w:rPr>
          <w:rFonts w:hint="eastAsia" w:ascii="宋体" w:hAnsi="宋体" w:eastAsia="宋体" w:cs="宋体"/>
          <w:b w:val="0"/>
          <w:bCs w:val="0"/>
          <w:color w:val="auto"/>
          <w:kern w:val="0"/>
          <w:sz w:val="21"/>
          <w:szCs w:val="21"/>
          <w:highlight w:val="none"/>
          <w:lang w:val="zh-CN"/>
        </w:rPr>
        <w:t>供应商的</w:t>
      </w:r>
      <w:r>
        <w:rPr>
          <w:rFonts w:hint="eastAsia" w:ascii="宋体" w:hAnsi="宋体" w:eastAsia="宋体" w:cs="宋体"/>
          <w:b w:val="0"/>
          <w:bCs w:val="0"/>
          <w:color w:val="auto"/>
          <w:sz w:val="21"/>
          <w:szCs w:val="21"/>
          <w:highlight w:val="none"/>
        </w:rPr>
        <w:t>最</w:t>
      </w:r>
      <w:r>
        <w:rPr>
          <w:rFonts w:hint="eastAsia" w:ascii="宋体" w:hAnsi="宋体" w:eastAsia="宋体" w:cs="宋体"/>
          <w:b w:val="0"/>
          <w:bCs w:val="0"/>
          <w:color w:val="auto"/>
          <w:kern w:val="0"/>
          <w:sz w:val="21"/>
          <w:szCs w:val="21"/>
          <w:highlight w:val="none"/>
          <w:lang w:val="zh-CN"/>
        </w:rPr>
        <w:t>后</w:t>
      </w:r>
      <w:r>
        <w:rPr>
          <w:rFonts w:hint="eastAsia" w:ascii="宋体" w:hAnsi="宋体" w:eastAsia="宋体" w:cs="宋体"/>
          <w:b w:val="0"/>
          <w:bCs w:val="0"/>
          <w:color w:val="auto"/>
          <w:sz w:val="21"/>
          <w:szCs w:val="21"/>
          <w:highlight w:val="none"/>
        </w:rPr>
        <w:t>报价</w:t>
      </w:r>
      <w:r>
        <w:rPr>
          <w:rFonts w:hint="eastAsia" w:ascii="宋体" w:hAnsi="宋体" w:eastAsia="宋体" w:cs="宋体"/>
          <w:b w:val="0"/>
          <w:bCs w:val="0"/>
          <w:color w:val="auto"/>
          <w:kern w:val="0"/>
          <w:sz w:val="21"/>
          <w:szCs w:val="21"/>
          <w:highlight w:val="none"/>
        </w:rPr>
        <w:t>，由采购人、采购代理机构负责记录，并由供应商代表签字确认后随采购文件一并存档。</w:t>
      </w:r>
    </w:p>
    <w:p w14:paraId="09996B61">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26.</w:t>
      </w:r>
      <w:bookmarkEnd w:id="100"/>
      <w:bookmarkEnd w:id="101"/>
      <w:r>
        <w:rPr>
          <w:rFonts w:hint="eastAsia" w:ascii="宋体" w:hAnsi="宋体" w:eastAsia="宋体" w:cs="宋体"/>
          <w:b/>
          <w:bCs/>
          <w:color w:val="auto"/>
          <w:sz w:val="22"/>
          <w:szCs w:val="22"/>
          <w:lang w:val="en-US" w:eastAsia="zh-CN"/>
        </w:rPr>
        <w:t>异常报价</w:t>
      </w:r>
    </w:p>
    <w:p w14:paraId="4C403C59">
      <w:pPr>
        <w:adjustRightInd w:val="0"/>
        <w:snapToGrid w:val="0"/>
        <w:spacing w:before="156" w:beforeLines="50" w:line="360" w:lineRule="auto"/>
        <w:ind w:firstLine="420" w:firstLineChars="200"/>
        <w:jc w:val="left"/>
        <w:outlineLvl w:val="9"/>
        <w:rPr>
          <w:rFonts w:hint="eastAsia" w:ascii="宋体" w:hAnsi="宋体" w:eastAsia="宋体" w:cs="宋体"/>
          <w:b w:val="0"/>
          <w:bCs w:val="0"/>
          <w:color w:val="auto"/>
          <w:kern w:val="0"/>
          <w:sz w:val="21"/>
          <w:szCs w:val="21"/>
          <w:highlight w:val="none"/>
        </w:rPr>
      </w:pPr>
      <w:bookmarkStart w:id="102" w:name="_Toc107997995"/>
      <w:bookmarkStart w:id="103" w:name="_Toc107997868"/>
      <w:r>
        <w:rPr>
          <w:rFonts w:hint="eastAsia" w:ascii="宋体" w:hAnsi="宋体" w:eastAsia="宋体" w:cs="宋体"/>
          <w:b w:val="0"/>
          <w:bCs w:val="0"/>
          <w:color w:val="auto"/>
          <w:sz w:val="21"/>
          <w:szCs w:val="21"/>
          <w:highlight w:val="none"/>
        </w:rPr>
        <w:t>26．1</w:t>
      </w:r>
      <w:r>
        <w:rPr>
          <w:rFonts w:hint="eastAsia" w:ascii="宋体" w:hAnsi="宋体" w:eastAsia="宋体" w:cs="宋体"/>
          <w:b w:val="0"/>
          <w:bCs w:val="0"/>
          <w:color w:val="auto"/>
          <w:sz w:val="21"/>
          <w:szCs w:val="21"/>
          <w:highlight w:val="none"/>
          <w:lang w:eastAsia="zh-CN"/>
        </w:rPr>
        <w:t>磋商</w:t>
      </w:r>
      <w:r>
        <w:rPr>
          <w:rFonts w:hint="eastAsia" w:ascii="宋体" w:hAnsi="宋体" w:eastAsia="宋体" w:cs="宋体"/>
          <w:b w:val="0"/>
          <w:bCs w:val="0"/>
          <w:color w:val="auto"/>
          <w:sz w:val="21"/>
          <w:szCs w:val="21"/>
          <w:highlight w:val="none"/>
        </w:rPr>
        <w:t>小组认为供应商的报价明显低于其他通过符合性审查供应商的报价，有可能影响产品质量或者不能诚信履约的，应当要求其在</w:t>
      </w:r>
      <w:r>
        <w:rPr>
          <w:rFonts w:hint="eastAsia" w:ascii="宋体" w:hAnsi="宋体" w:eastAsia="宋体" w:cs="宋体"/>
          <w:b w:val="0"/>
          <w:bCs w:val="0"/>
          <w:color w:val="auto"/>
          <w:sz w:val="21"/>
          <w:szCs w:val="21"/>
          <w:highlight w:val="none"/>
          <w:lang w:eastAsia="zh-CN"/>
        </w:rPr>
        <w:t>磋商</w:t>
      </w:r>
      <w:r>
        <w:rPr>
          <w:rFonts w:hint="eastAsia" w:ascii="宋体" w:hAnsi="宋体" w:eastAsia="宋体" w:cs="宋体"/>
          <w:b w:val="0"/>
          <w:bCs w:val="0"/>
          <w:color w:val="auto"/>
          <w:sz w:val="21"/>
          <w:szCs w:val="21"/>
          <w:highlight w:val="none"/>
        </w:rPr>
        <w:t>现场合理的时间内提供书面说明，必要时提交相关证明材料；供应商不能证明其报价合理性的，</w:t>
      </w:r>
      <w:r>
        <w:rPr>
          <w:rFonts w:hint="eastAsia" w:ascii="宋体" w:hAnsi="宋体" w:eastAsia="宋体" w:cs="宋体"/>
          <w:b w:val="0"/>
          <w:bCs w:val="0"/>
          <w:color w:val="auto"/>
          <w:sz w:val="21"/>
          <w:szCs w:val="21"/>
          <w:highlight w:val="none"/>
          <w:lang w:eastAsia="zh-CN"/>
        </w:rPr>
        <w:t>磋商</w:t>
      </w:r>
      <w:r>
        <w:rPr>
          <w:rFonts w:hint="eastAsia" w:ascii="宋体" w:hAnsi="宋体" w:eastAsia="宋体" w:cs="宋体"/>
          <w:b w:val="0"/>
          <w:bCs w:val="0"/>
          <w:color w:val="auto"/>
          <w:sz w:val="21"/>
          <w:szCs w:val="21"/>
          <w:highlight w:val="none"/>
        </w:rPr>
        <w:t>小组应当将其作为响应无效处理。</w:t>
      </w:r>
    </w:p>
    <w:p w14:paraId="59018177">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27.提出成交供应商</w:t>
      </w:r>
      <w:bookmarkEnd w:id="102"/>
      <w:bookmarkEnd w:id="103"/>
    </w:p>
    <w:p w14:paraId="18978FD2">
      <w:pPr>
        <w:adjustRightInd w:val="0"/>
        <w:snapToGrid w:val="0"/>
        <w:spacing w:before="156" w:beforeLines="50" w:line="360" w:lineRule="auto"/>
        <w:ind w:firstLine="420" w:firstLineChars="200"/>
        <w:outlineLvl w:val="9"/>
        <w:rPr>
          <w:rFonts w:hint="eastAsia" w:ascii="宋体" w:hAnsi="宋体" w:eastAsia="宋体" w:cs="宋体"/>
          <w:b w:val="0"/>
          <w:bCs w:val="0"/>
          <w:color w:val="auto"/>
          <w:kern w:val="0"/>
          <w:sz w:val="21"/>
          <w:szCs w:val="21"/>
          <w:highlight w:val="none"/>
        </w:rPr>
      </w:pPr>
      <w:bookmarkStart w:id="104" w:name="_Toc107997996"/>
      <w:bookmarkStart w:id="105" w:name="_Toc107997869"/>
      <w:r>
        <w:rPr>
          <w:rFonts w:hint="eastAsia" w:ascii="宋体" w:hAnsi="宋体" w:eastAsia="宋体" w:cs="宋体"/>
          <w:b w:val="0"/>
          <w:bCs w:val="0"/>
          <w:color w:val="auto"/>
          <w:kern w:val="0"/>
          <w:sz w:val="21"/>
          <w:szCs w:val="21"/>
          <w:highlight w:val="none"/>
          <w:lang w:val="en-US" w:eastAsia="zh-CN"/>
        </w:rPr>
        <w:t>27.1</w:t>
      </w:r>
      <w:r>
        <w:rPr>
          <w:rFonts w:hint="eastAsia" w:ascii="宋体" w:hAnsi="宋体" w:eastAsia="宋体" w:cs="宋体"/>
          <w:b w:val="0"/>
          <w:bCs w:val="0"/>
          <w:color w:val="auto"/>
          <w:kern w:val="0"/>
          <w:sz w:val="21"/>
          <w:szCs w:val="21"/>
          <w:highlight w:val="none"/>
        </w:rPr>
        <w:t>磋商小组应当根据综合评分情况，按照评审得分由高到低顺序推荐3名以上成交候选供应商，并编写评审报告。</w:t>
      </w:r>
      <w:r>
        <w:rPr>
          <w:rFonts w:hint="eastAsia" w:ascii="宋体" w:hAnsi="宋体" w:eastAsia="宋体" w:cs="宋体"/>
          <w:b w:val="0"/>
          <w:bCs w:val="0"/>
          <w:color w:val="auto"/>
          <w:kern w:val="0"/>
          <w:sz w:val="21"/>
          <w:szCs w:val="21"/>
          <w:highlight w:val="none"/>
          <w:lang w:val="zh-CN"/>
        </w:rPr>
        <w:t>评审得分相同的，按照最后报价由低到高的顺序推荐。评审得分且最后报价相同的，按照技术指标优劣顺序推荐。</w:t>
      </w:r>
    </w:p>
    <w:p w14:paraId="22C3AEF0">
      <w:pPr>
        <w:adjustRightInd w:val="0"/>
        <w:snapToGrid w:val="0"/>
        <w:spacing w:before="156" w:beforeLines="50" w:line="360" w:lineRule="auto"/>
        <w:ind w:firstLine="420"/>
        <w:jc w:val="left"/>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供应商最后报价涉及算术修正、需落实政府采购政策的，按上款规定由低到高的顺序排序。</w:t>
      </w:r>
    </w:p>
    <w:p w14:paraId="18B4A025">
      <w:pPr>
        <w:adjustRightInd w:val="0"/>
        <w:snapToGrid w:val="0"/>
        <w:spacing w:before="156" w:beforeLines="50" w:line="360" w:lineRule="auto"/>
        <w:ind w:firstLine="420"/>
        <w:jc w:val="left"/>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sz w:val="21"/>
          <w:szCs w:val="21"/>
          <w:highlight w:val="none"/>
        </w:rPr>
        <w:t>27.2</w:t>
      </w:r>
      <w:r>
        <w:rPr>
          <w:rFonts w:hint="eastAsia" w:ascii="宋体" w:hAnsi="宋体" w:eastAsia="宋体" w:cs="宋体"/>
          <w:b w:val="0"/>
          <w:bCs w:val="0"/>
          <w:color w:val="auto"/>
          <w:kern w:val="0"/>
          <w:sz w:val="21"/>
          <w:szCs w:val="21"/>
          <w:highlight w:val="none"/>
        </w:rPr>
        <w:t>最后报价有算术错误的，除</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eastAsia="zh-CN"/>
        </w:rPr>
        <w:t>磋商</w:t>
      </w:r>
      <w:r>
        <w:rPr>
          <w:rFonts w:hint="eastAsia" w:ascii="宋体" w:hAnsi="宋体" w:eastAsia="宋体" w:cs="宋体"/>
          <w:b/>
          <w:bCs/>
          <w:color w:val="auto"/>
          <w:sz w:val="21"/>
          <w:szCs w:val="21"/>
          <w:highlight w:val="none"/>
        </w:rPr>
        <w:t>须知前附表】</w:t>
      </w:r>
      <w:r>
        <w:rPr>
          <w:rFonts w:hint="eastAsia" w:ascii="宋体" w:hAnsi="宋体" w:eastAsia="宋体" w:cs="宋体"/>
          <w:b w:val="0"/>
          <w:bCs w:val="0"/>
          <w:color w:val="auto"/>
          <w:kern w:val="0"/>
          <w:sz w:val="21"/>
          <w:szCs w:val="21"/>
          <w:highlight w:val="none"/>
        </w:rPr>
        <w:t>另有规定外，</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小组按以下原则对报价进行修正，修正的价格经供应商书面确认，并由供应商代表签字或者加盖单位公章确认后产生约束力，供应商不接受修正价格的，其报价作无效报价处理。</w:t>
      </w:r>
    </w:p>
    <w:p w14:paraId="5F216139">
      <w:pPr>
        <w:adjustRightInd w:val="0"/>
        <w:snapToGrid w:val="0"/>
        <w:spacing w:before="156" w:beforeLines="50" w:line="360" w:lineRule="auto"/>
        <w:ind w:firstLine="420"/>
        <w:jc w:val="left"/>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（1）大写金额与小写金额不一致的，以大写金额为准。</w:t>
      </w:r>
    </w:p>
    <w:p w14:paraId="51DE13AE">
      <w:pPr>
        <w:adjustRightInd w:val="0"/>
        <w:snapToGrid w:val="0"/>
        <w:spacing w:before="156" w:beforeLines="50" w:line="360" w:lineRule="auto"/>
        <w:ind w:firstLine="420" w:firstLineChars="200"/>
        <w:jc w:val="left"/>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（2）总价金额与按单价汇总金额不一致的，以单价金额计算结果为准。</w:t>
      </w:r>
    </w:p>
    <w:p w14:paraId="66D8869F">
      <w:pPr>
        <w:adjustRightInd w:val="0"/>
        <w:snapToGrid w:val="0"/>
        <w:spacing w:before="156" w:beforeLines="50" w:line="360" w:lineRule="auto"/>
        <w:ind w:firstLine="420" w:firstLineChars="200"/>
        <w:jc w:val="left"/>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修正后的报价由供应商代表签字或者加盖单位公章确认后产生约束力，不确认的，其报价无效。</w:t>
      </w:r>
    </w:p>
    <w:p w14:paraId="1CA94F0D">
      <w:pPr>
        <w:adjustRightInd w:val="0"/>
        <w:snapToGrid w:val="0"/>
        <w:spacing w:before="156" w:beforeLines="50" w:line="360" w:lineRule="auto"/>
        <w:ind w:firstLine="420" w:firstLineChars="200"/>
        <w:jc w:val="left"/>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27.3最后报价的评审</w:t>
      </w:r>
    </w:p>
    <w:p w14:paraId="39C96BC2">
      <w:pPr>
        <w:adjustRightInd w:val="0"/>
        <w:snapToGrid w:val="0"/>
        <w:spacing w:before="156" w:beforeLines="50" w:line="360" w:lineRule="auto"/>
        <w:ind w:firstLine="420" w:firstLineChars="200"/>
        <w:jc w:val="left"/>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（1）如果有算术错误，最后报价将按上款规定进行算术修正。</w:t>
      </w:r>
    </w:p>
    <w:p w14:paraId="0237FAD8">
      <w:pPr>
        <w:adjustRightInd w:val="0"/>
        <w:snapToGrid w:val="0"/>
        <w:spacing w:before="156" w:beforeLines="50" w:line="360" w:lineRule="auto"/>
        <w:ind w:firstLine="420" w:firstLineChars="200"/>
        <w:jc w:val="left"/>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（2）需落实政府采购政策（优先采购、价格评审优惠）的，按本章本节第</w:t>
      </w:r>
      <w:r>
        <w:rPr>
          <w:rFonts w:hint="eastAsia" w:ascii="宋体" w:hAnsi="宋体" w:eastAsia="宋体" w:cs="宋体"/>
          <w:b w:val="0"/>
          <w:bCs w:val="0"/>
          <w:color w:val="auto"/>
          <w:sz w:val="21"/>
          <w:szCs w:val="21"/>
          <w:highlight w:val="none"/>
          <w:lang w:val="en-US" w:eastAsia="zh-CN"/>
        </w:rPr>
        <w:t>37</w:t>
      </w:r>
      <w:r>
        <w:rPr>
          <w:rFonts w:hint="eastAsia" w:ascii="宋体" w:hAnsi="宋体" w:eastAsia="宋体" w:cs="宋体"/>
          <w:b w:val="0"/>
          <w:bCs w:val="0"/>
          <w:color w:val="auto"/>
          <w:sz w:val="21"/>
          <w:szCs w:val="21"/>
          <w:highlight w:val="none"/>
        </w:rPr>
        <w:t>条等相关规定进行价格扣除。</w:t>
      </w:r>
    </w:p>
    <w:p w14:paraId="13912DFB">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28.确定成交供应商</w:t>
      </w:r>
      <w:bookmarkEnd w:id="104"/>
      <w:bookmarkEnd w:id="105"/>
    </w:p>
    <w:p w14:paraId="54421C43">
      <w:pPr>
        <w:adjustRightInd w:val="0"/>
        <w:snapToGrid w:val="0"/>
        <w:spacing w:before="156" w:beforeLines="50" w:line="360" w:lineRule="auto"/>
        <w:ind w:firstLine="420" w:firstLineChars="200"/>
        <w:jc w:val="left"/>
        <w:outlineLvl w:val="9"/>
        <w:rPr>
          <w:rFonts w:hint="eastAsia" w:ascii="宋体" w:hAnsi="宋体" w:eastAsia="宋体" w:cs="宋体"/>
          <w:b w:val="0"/>
          <w:bCs w:val="0"/>
          <w:color w:val="auto"/>
          <w:kern w:val="0"/>
          <w:sz w:val="21"/>
          <w:szCs w:val="21"/>
          <w:highlight w:val="none"/>
        </w:rPr>
      </w:pPr>
      <w:bookmarkStart w:id="106" w:name="_Toc107997870"/>
      <w:bookmarkStart w:id="107" w:name="_Toc107997997"/>
      <w:r>
        <w:rPr>
          <w:rFonts w:hint="eastAsia" w:ascii="宋体" w:hAnsi="宋体" w:eastAsia="宋体" w:cs="宋体"/>
          <w:b w:val="0"/>
          <w:bCs w:val="0"/>
          <w:color w:val="auto"/>
          <w:kern w:val="0"/>
          <w:sz w:val="21"/>
          <w:szCs w:val="21"/>
          <w:highlight w:val="none"/>
        </w:rPr>
        <w:t>28.1采购代理机构应当在评审结束后2个工作日内将评审报告送采购人确认。</w:t>
      </w:r>
    </w:p>
    <w:p w14:paraId="7E9DC0D8">
      <w:pPr>
        <w:adjustRightInd w:val="0"/>
        <w:snapToGrid w:val="0"/>
        <w:spacing w:before="156" w:beforeLines="50" w:line="360" w:lineRule="auto"/>
        <w:ind w:firstLine="420"/>
        <w:jc w:val="left"/>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28.2采购人应当在收到评审报告后5个工作日内，从评审报告提出的成交候选人中，</w:t>
      </w:r>
      <w:r>
        <w:rPr>
          <w:rFonts w:ascii="Arial" w:hAnsi="Arial" w:cs="Arial"/>
          <w:b w:val="0"/>
          <w:bCs w:val="0"/>
          <w:color w:val="auto"/>
          <w:kern w:val="0"/>
          <w:szCs w:val="21"/>
          <w:highlight w:val="none"/>
        </w:rPr>
        <w:t>按照排序由高到低的原则确定成交供应商</w:t>
      </w:r>
      <w:r>
        <w:rPr>
          <w:rFonts w:hint="eastAsia" w:ascii="宋体" w:hAnsi="宋体" w:eastAsia="宋体" w:cs="宋体"/>
          <w:b w:val="0"/>
          <w:bCs w:val="0"/>
          <w:color w:val="auto"/>
          <w:kern w:val="0"/>
          <w:sz w:val="21"/>
          <w:szCs w:val="21"/>
          <w:highlight w:val="none"/>
        </w:rPr>
        <w:t>，也可以书面授权</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小组直接确定成交供应商。</w:t>
      </w:r>
    </w:p>
    <w:p w14:paraId="1D73F6B4">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29.磋商的特殊情形</w:t>
      </w:r>
      <w:bookmarkEnd w:id="106"/>
      <w:bookmarkEnd w:id="107"/>
    </w:p>
    <w:p w14:paraId="6D12EE7F">
      <w:pPr>
        <w:adjustRightInd w:val="0"/>
        <w:snapToGrid w:val="0"/>
        <w:spacing w:before="156" w:beforeLines="50" w:line="360" w:lineRule="auto"/>
        <w:ind w:firstLine="420" w:firstLineChars="200"/>
        <w:outlineLvl w:val="9"/>
        <w:rPr>
          <w:rFonts w:hint="eastAsia" w:ascii="宋体" w:hAnsi="宋体" w:eastAsia="宋体" w:cs="宋体"/>
          <w:b w:val="0"/>
          <w:bCs w:val="0"/>
          <w:color w:val="auto"/>
          <w:kern w:val="0"/>
          <w:sz w:val="21"/>
          <w:szCs w:val="21"/>
          <w:highlight w:val="none"/>
          <w:lang w:val="zh-CN"/>
        </w:rPr>
      </w:pPr>
      <w:bookmarkStart w:id="108" w:name="_Toc107997871"/>
      <w:bookmarkStart w:id="109" w:name="_Toc107997998"/>
      <w:r>
        <w:rPr>
          <w:rFonts w:hint="eastAsia" w:ascii="宋体" w:hAnsi="宋体" w:eastAsia="宋体" w:cs="宋体"/>
          <w:b w:val="0"/>
          <w:bCs w:val="0"/>
          <w:color w:val="auto"/>
          <w:kern w:val="0"/>
          <w:sz w:val="21"/>
          <w:szCs w:val="21"/>
          <w:highlight w:val="none"/>
          <w:lang w:val="en-US" w:eastAsia="zh-CN"/>
        </w:rPr>
        <w:t>采用竞争性磋商采购方式采购的政府购买服务项目（含政府和社会资本合作项目），在采购</w:t>
      </w:r>
      <w:r>
        <w:rPr>
          <w:rFonts w:hint="eastAsia" w:ascii="宋体" w:hAnsi="宋体" w:eastAsia="宋体" w:cs="宋体"/>
          <w:b w:val="0"/>
          <w:bCs w:val="0"/>
          <w:color w:val="auto"/>
          <w:kern w:val="0"/>
          <w:sz w:val="21"/>
          <w:szCs w:val="21"/>
          <w:highlight w:val="none"/>
          <w:lang w:val="zh-CN"/>
        </w:rPr>
        <w:t>过程中</w:t>
      </w:r>
      <w:r>
        <w:rPr>
          <w:rFonts w:hint="eastAsia" w:ascii="宋体" w:hAnsi="宋体" w:eastAsia="宋体" w:cs="宋体"/>
          <w:b w:val="0"/>
          <w:bCs w:val="0"/>
          <w:color w:val="auto"/>
          <w:kern w:val="0"/>
          <w:sz w:val="21"/>
          <w:szCs w:val="21"/>
          <w:highlight w:val="none"/>
          <w:lang w:val="en-US" w:eastAsia="zh-CN"/>
        </w:rPr>
        <w:t>符合要求的</w:t>
      </w:r>
      <w:r>
        <w:rPr>
          <w:rFonts w:hint="eastAsia" w:ascii="宋体" w:hAnsi="宋体" w:eastAsia="宋体" w:cs="宋体"/>
          <w:b w:val="0"/>
          <w:bCs w:val="0"/>
          <w:color w:val="auto"/>
          <w:kern w:val="0"/>
          <w:sz w:val="21"/>
          <w:szCs w:val="21"/>
          <w:highlight w:val="none"/>
          <w:lang w:val="zh-CN"/>
        </w:rPr>
        <w:t>供应商</w:t>
      </w:r>
      <w:r>
        <w:rPr>
          <w:rFonts w:hint="eastAsia" w:ascii="宋体" w:hAnsi="宋体" w:eastAsia="宋体" w:cs="宋体"/>
          <w:b w:val="0"/>
          <w:bCs w:val="0"/>
          <w:color w:val="auto"/>
          <w:kern w:val="0"/>
          <w:sz w:val="21"/>
          <w:szCs w:val="21"/>
          <w:highlight w:val="none"/>
          <w:lang w:val="en-US" w:eastAsia="zh-CN"/>
        </w:rPr>
        <w:t>（社会资本）</w:t>
      </w:r>
      <w:r>
        <w:rPr>
          <w:rFonts w:hint="eastAsia" w:ascii="宋体" w:hAnsi="宋体" w:eastAsia="宋体" w:cs="宋体"/>
          <w:b w:val="0"/>
          <w:bCs w:val="0"/>
          <w:color w:val="auto"/>
          <w:kern w:val="0"/>
          <w:sz w:val="21"/>
          <w:szCs w:val="21"/>
          <w:highlight w:val="none"/>
          <w:lang w:val="zh-CN"/>
        </w:rPr>
        <w:t>只有 2 家的，</w:t>
      </w:r>
      <w:r>
        <w:rPr>
          <w:rFonts w:hint="eastAsia" w:ascii="宋体" w:hAnsi="宋体" w:eastAsia="宋体" w:cs="宋体"/>
          <w:b w:val="0"/>
          <w:bCs w:val="0"/>
          <w:color w:val="auto"/>
          <w:kern w:val="0"/>
          <w:sz w:val="21"/>
          <w:szCs w:val="21"/>
          <w:highlight w:val="none"/>
          <w:lang w:val="en-US" w:eastAsia="zh-CN"/>
        </w:rPr>
        <w:t>竞争性</w:t>
      </w:r>
      <w:r>
        <w:rPr>
          <w:rFonts w:hint="eastAsia" w:ascii="宋体" w:hAnsi="宋体" w:eastAsia="宋体" w:cs="宋体"/>
          <w:b w:val="0"/>
          <w:bCs w:val="0"/>
          <w:color w:val="auto"/>
          <w:kern w:val="0"/>
          <w:sz w:val="21"/>
          <w:szCs w:val="21"/>
          <w:highlight w:val="none"/>
          <w:lang w:val="zh-CN"/>
        </w:rPr>
        <w:t>磋商采购活动可以</w:t>
      </w:r>
      <w:r>
        <w:rPr>
          <w:rFonts w:hint="eastAsia" w:ascii="宋体" w:hAnsi="宋体" w:eastAsia="宋体" w:cs="宋体"/>
          <w:b w:val="0"/>
          <w:bCs w:val="0"/>
          <w:color w:val="auto"/>
          <w:kern w:val="0"/>
          <w:sz w:val="21"/>
          <w:szCs w:val="21"/>
          <w:highlight w:val="none"/>
          <w:lang w:val="en-US" w:eastAsia="zh-CN"/>
        </w:rPr>
        <w:t>继续进行。采购过程中符合要求的供应商（社会资本）只有1家的，采购人（项目实施机构）或者采购代理机构应对终止</w:t>
      </w:r>
      <w:r>
        <w:rPr>
          <w:rFonts w:hint="eastAsia" w:ascii="宋体" w:hAnsi="宋体" w:eastAsia="宋体" w:cs="宋体"/>
          <w:b w:val="0"/>
          <w:bCs w:val="0"/>
          <w:color w:val="auto"/>
          <w:kern w:val="0"/>
          <w:sz w:val="21"/>
          <w:szCs w:val="21"/>
          <w:highlight w:val="none"/>
          <w:lang w:val="zh-CN"/>
        </w:rPr>
        <w:t>竞争性磋商采购</w:t>
      </w:r>
      <w:r>
        <w:rPr>
          <w:rFonts w:hint="eastAsia" w:ascii="宋体" w:hAnsi="宋体" w:eastAsia="宋体" w:cs="宋体"/>
          <w:b w:val="0"/>
          <w:bCs w:val="0"/>
          <w:color w:val="auto"/>
          <w:kern w:val="0"/>
          <w:sz w:val="21"/>
          <w:szCs w:val="21"/>
          <w:highlight w:val="none"/>
          <w:lang w:val="en-US" w:eastAsia="zh-CN"/>
        </w:rPr>
        <w:t>活动，发布项目终止公告并说明原因，重新开展采购活动</w:t>
      </w:r>
      <w:r>
        <w:rPr>
          <w:rFonts w:hint="eastAsia" w:ascii="宋体" w:hAnsi="宋体" w:eastAsia="宋体" w:cs="宋体"/>
          <w:b w:val="0"/>
          <w:bCs w:val="0"/>
          <w:color w:val="auto"/>
          <w:kern w:val="0"/>
          <w:sz w:val="21"/>
          <w:szCs w:val="21"/>
          <w:highlight w:val="none"/>
          <w:lang w:val="zh-CN"/>
        </w:rPr>
        <w:t>。</w:t>
      </w:r>
    </w:p>
    <w:p w14:paraId="53A48F5C">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30.磋商终止</w:t>
      </w:r>
      <w:bookmarkEnd w:id="108"/>
      <w:bookmarkEnd w:id="109"/>
    </w:p>
    <w:p w14:paraId="776FCA57">
      <w:pPr>
        <w:adjustRightInd w:val="0"/>
        <w:snapToGrid w:val="0"/>
        <w:spacing w:before="156" w:beforeLines="50" w:line="360" w:lineRule="auto"/>
        <w:ind w:firstLine="420" w:firstLineChars="200"/>
        <w:jc w:val="left"/>
        <w:outlineLvl w:val="9"/>
        <w:rPr>
          <w:rFonts w:hint="eastAsia" w:ascii="宋体" w:hAnsi="宋体" w:eastAsia="宋体" w:cs="宋体"/>
          <w:b w:val="0"/>
          <w:bCs w:val="0"/>
          <w:color w:val="auto"/>
          <w:kern w:val="0"/>
          <w:sz w:val="21"/>
          <w:szCs w:val="21"/>
          <w:highlight w:val="none"/>
        </w:rPr>
      </w:pPr>
      <w:bookmarkStart w:id="110" w:name="_Toc107997872"/>
      <w:bookmarkStart w:id="111" w:name="_Toc107997999"/>
      <w:r>
        <w:rPr>
          <w:rFonts w:hint="eastAsia" w:ascii="宋体" w:hAnsi="宋体" w:eastAsia="宋体" w:cs="宋体"/>
          <w:b w:val="0"/>
          <w:bCs w:val="0"/>
          <w:color w:val="auto"/>
          <w:sz w:val="21"/>
          <w:szCs w:val="21"/>
          <w:highlight w:val="none"/>
        </w:rPr>
        <w:t>30.1</w:t>
      </w:r>
      <w:r>
        <w:rPr>
          <w:rFonts w:hint="eastAsia" w:ascii="宋体" w:hAnsi="宋体" w:eastAsia="宋体" w:cs="宋体"/>
          <w:b w:val="0"/>
          <w:bCs w:val="0"/>
          <w:color w:val="auto"/>
          <w:kern w:val="0"/>
          <w:sz w:val="21"/>
          <w:szCs w:val="21"/>
          <w:highlight w:val="none"/>
        </w:rPr>
        <w:t>出现下列情形之一的，采购人、采购代理机构应当终止竞争性</w:t>
      </w:r>
      <w:r>
        <w:rPr>
          <w:rFonts w:hint="eastAsia" w:ascii="宋体" w:hAnsi="宋体" w:eastAsia="宋体" w:cs="宋体"/>
          <w:b w:val="0"/>
          <w:bCs w:val="0"/>
          <w:color w:val="auto"/>
          <w:kern w:val="0"/>
          <w:sz w:val="21"/>
          <w:szCs w:val="21"/>
          <w:highlight w:val="none"/>
          <w:lang w:eastAsia="zh-CN"/>
        </w:rPr>
        <w:t>磋商</w:t>
      </w:r>
      <w:r>
        <w:rPr>
          <w:rFonts w:hint="eastAsia" w:ascii="宋体" w:hAnsi="宋体" w:eastAsia="宋体" w:cs="宋体"/>
          <w:b w:val="0"/>
          <w:bCs w:val="0"/>
          <w:color w:val="auto"/>
          <w:kern w:val="0"/>
          <w:sz w:val="21"/>
          <w:szCs w:val="21"/>
          <w:highlight w:val="none"/>
        </w:rPr>
        <w:t>采购活动，</w:t>
      </w:r>
      <w:r>
        <w:rPr>
          <w:rFonts w:hint="eastAsia" w:ascii="宋体" w:hAnsi="宋体" w:eastAsia="宋体" w:cs="宋体"/>
          <w:b w:val="0"/>
          <w:bCs w:val="0"/>
          <w:color w:val="auto"/>
          <w:sz w:val="21"/>
          <w:szCs w:val="21"/>
          <w:highlight w:val="none"/>
        </w:rPr>
        <w:t>在</w:t>
      </w:r>
      <w:r>
        <w:rPr>
          <w:rFonts w:hint="eastAsia" w:ascii="宋体" w:hAnsi="宋体" w:eastAsia="宋体" w:cs="宋体"/>
          <w:b w:val="0"/>
          <w:bCs w:val="0"/>
          <w:color w:val="auto"/>
          <w:kern w:val="0"/>
          <w:sz w:val="21"/>
          <w:szCs w:val="21"/>
          <w:highlight w:val="none"/>
        </w:rPr>
        <w:t xml:space="preserve">发布项目终止公告并说明原因，重新开展采购活动： </w:t>
      </w:r>
    </w:p>
    <w:p w14:paraId="42D7D137">
      <w:pPr>
        <w:adjustRightInd w:val="0"/>
        <w:snapToGrid w:val="0"/>
        <w:spacing w:before="156" w:beforeLines="50" w:line="360" w:lineRule="auto"/>
        <w:ind w:firstLine="420" w:firstLineChars="200"/>
        <w:outlineLvl w:val="9"/>
        <w:rPr>
          <w:rFonts w:hint="eastAsia" w:ascii="宋体" w:hAnsi="宋体" w:eastAsia="宋体" w:cs="宋体"/>
          <w:b w:val="0"/>
          <w:bCs w:val="0"/>
          <w:color w:val="auto"/>
          <w:kern w:val="0"/>
          <w:sz w:val="21"/>
          <w:szCs w:val="21"/>
          <w:highlight w:val="none"/>
          <w:lang w:val="zh-CN"/>
        </w:rPr>
      </w:pPr>
      <w:r>
        <w:rPr>
          <w:rFonts w:hint="eastAsia" w:ascii="宋体" w:hAnsi="宋体" w:eastAsia="宋体" w:cs="宋体"/>
          <w:b w:val="0"/>
          <w:bCs w:val="0"/>
          <w:color w:val="auto"/>
          <w:kern w:val="0"/>
          <w:sz w:val="21"/>
          <w:szCs w:val="21"/>
          <w:highlight w:val="none"/>
          <w:lang w:val="zh-CN"/>
        </w:rPr>
        <w:t>（</w:t>
      </w:r>
      <w:r>
        <w:rPr>
          <w:rFonts w:hint="eastAsia" w:ascii="宋体" w:hAnsi="宋体" w:eastAsia="宋体" w:cs="宋体"/>
          <w:b w:val="0"/>
          <w:bCs w:val="0"/>
          <w:color w:val="auto"/>
          <w:kern w:val="0"/>
          <w:sz w:val="21"/>
          <w:szCs w:val="21"/>
          <w:highlight w:val="none"/>
          <w:lang w:val="en-US" w:eastAsia="zh-CN"/>
        </w:rPr>
        <w:t>1</w:t>
      </w:r>
      <w:r>
        <w:rPr>
          <w:rFonts w:hint="eastAsia" w:ascii="宋体" w:hAnsi="宋体" w:eastAsia="宋体" w:cs="宋体"/>
          <w:b w:val="0"/>
          <w:bCs w:val="0"/>
          <w:color w:val="auto"/>
          <w:kern w:val="0"/>
          <w:sz w:val="21"/>
          <w:szCs w:val="21"/>
          <w:highlight w:val="none"/>
          <w:lang w:val="zh-CN"/>
        </w:rPr>
        <w:t>）因情况变化，不再符合规定的竞争性磋商采购方式适用情形的；</w:t>
      </w:r>
    </w:p>
    <w:p w14:paraId="671D3D02">
      <w:pPr>
        <w:adjustRightInd w:val="0"/>
        <w:snapToGrid w:val="0"/>
        <w:spacing w:before="156" w:beforeLines="50" w:line="360" w:lineRule="auto"/>
        <w:ind w:firstLine="420" w:firstLineChars="200"/>
        <w:outlineLvl w:val="9"/>
        <w:rPr>
          <w:rFonts w:hint="eastAsia" w:ascii="宋体" w:hAnsi="宋体" w:eastAsia="宋体" w:cs="宋体"/>
          <w:b w:val="0"/>
          <w:bCs w:val="0"/>
          <w:color w:val="auto"/>
          <w:kern w:val="0"/>
          <w:sz w:val="21"/>
          <w:szCs w:val="21"/>
          <w:highlight w:val="none"/>
          <w:lang w:val="zh-CN"/>
        </w:rPr>
      </w:pPr>
      <w:r>
        <w:rPr>
          <w:rFonts w:hint="eastAsia" w:ascii="宋体" w:hAnsi="宋体" w:eastAsia="宋体" w:cs="宋体"/>
          <w:b w:val="0"/>
          <w:bCs w:val="0"/>
          <w:color w:val="auto"/>
          <w:kern w:val="0"/>
          <w:sz w:val="21"/>
          <w:szCs w:val="21"/>
          <w:highlight w:val="none"/>
          <w:lang w:val="zh-CN"/>
        </w:rPr>
        <w:t>（</w:t>
      </w:r>
      <w:r>
        <w:rPr>
          <w:rFonts w:hint="eastAsia" w:ascii="宋体" w:hAnsi="宋体" w:eastAsia="宋体" w:cs="宋体"/>
          <w:b w:val="0"/>
          <w:bCs w:val="0"/>
          <w:color w:val="auto"/>
          <w:kern w:val="0"/>
          <w:sz w:val="21"/>
          <w:szCs w:val="21"/>
          <w:highlight w:val="none"/>
          <w:lang w:val="en-US" w:eastAsia="zh-CN"/>
        </w:rPr>
        <w:t>2</w:t>
      </w:r>
      <w:r>
        <w:rPr>
          <w:rFonts w:hint="eastAsia" w:ascii="宋体" w:hAnsi="宋体" w:eastAsia="宋体" w:cs="宋体"/>
          <w:b w:val="0"/>
          <w:bCs w:val="0"/>
          <w:color w:val="auto"/>
          <w:kern w:val="0"/>
          <w:sz w:val="21"/>
          <w:szCs w:val="21"/>
          <w:highlight w:val="none"/>
          <w:lang w:val="zh-CN"/>
        </w:rPr>
        <w:t>）出现影响采购公正的违法、违规行为的；</w:t>
      </w:r>
    </w:p>
    <w:p w14:paraId="447CEA8A">
      <w:pPr>
        <w:adjustRightInd w:val="0"/>
        <w:snapToGrid w:val="0"/>
        <w:spacing w:before="156" w:beforeLines="50" w:line="360" w:lineRule="auto"/>
        <w:ind w:firstLine="420" w:firstLineChars="200"/>
        <w:outlineLvl w:val="9"/>
        <w:rPr>
          <w:rFonts w:hint="eastAsia" w:ascii="宋体" w:hAnsi="宋体" w:eastAsia="宋体" w:cs="宋体"/>
          <w:b w:val="0"/>
          <w:bCs w:val="0"/>
          <w:color w:val="auto"/>
          <w:kern w:val="0"/>
          <w:sz w:val="21"/>
          <w:szCs w:val="21"/>
          <w:highlight w:val="none"/>
          <w:lang w:val="zh-CN"/>
        </w:rPr>
      </w:pPr>
      <w:r>
        <w:rPr>
          <w:rFonts w:hint="eastAsia" w:ascii="宋体" w:hAnsi="宋体" w:eastAsia="宋体" w:cs="宋体"/>
          <w:b w:val="0"/>
          <w:bCs w:val="0"/>
          <w:color w:val="auto"/>
          <w:kern w:val="0"/>
          <w:sz w:val="21"/>
          <w:szCs w:val="21"/>
          <w:highlight w:val="none"/>
          <w:lang w:val="zh-CN"/>
        </w:rPr>
        <w:t>（</w:t>
      </w:r>
      <w:r>
        <w:rPr>
          <w:rFonts w:hint="eastAsia" w:ascii="宋体" w:hAnsi="宋体" w:eastAsia="宋体" w:cs="宋体"/>
          <w:b w:val="0"/>
          <w:bCs w:val="0"/>
          <w:color w:val="auto"/>
          <w:kern w:val="0"/>
          <w:sz w:val="21"/>
          <w:szCs w:val="21"/>
          <w:highlight w:val="none"/>
          <w:lang w:val="en-US" w:eastAsia="zh-CN"/>
        </w:rPr>
        <w:t>3</w:t>
      </w:r>
      <w:r>
        <w:rPr>
          <w:rFonts w:hint="eastAsia" w:ascii="宋体" w:hAnsi="宋体" w:eastAsia="宋体" w:cs="宋体"/>
          <w:b w:val="0"/>
          <w:bCs w:val="0"/>
          <w:color w:val="auto"/>
          <w:kern w:val="0"/>
          <w:sz w:val="21"/>
          <w:szCs w:val="21"/>
          <w:highlight w:val="none"/>
          <w:lang w:val="zh-CN"/>
        </w:rPr>
        <w:t>）除</w:t>
      </w:r>
      <w:r>
        <w:rPr>
          <w:rFonts w:hint="eastAsia" w:ascii="宋体" w:hAnsi="宋体" w:eastAsia="宋体" w:cs="宋体"/>
          <w:b w:val="0"/>
          <w:bCs w:val="0"/>
          <w:color w:val="auto"/>
          <w:kern w:val="0"/>
          <w:sz w:val="21"/>
          <w:szCs w:val="21"/>
          <w:highlight w:val="none"/>
          <w:lang w:val="zh-CN" w:eastAsia="zh-CN"/>
        </w:rPr>
        <w:t>《政府采购竞争性磋商采购方式管理暂行办法》</w:t>
      </w:r>
      <w:r>
        <w:rPr>
          <w:rFonts w:hint="eastAsia" w:ascii="宋体" w:hAnsi="宋体" w:eastAsia="宋体" w:cs="宋体"/>
          <w:b w:val="0"/>
          <w:bCs w:val="0"/>
          <w:color w:val="auto"/>
          <w:kern w:val="0"/>
          <w:sz w:val="21"/>
          <w:szCs w:val="21"/>
          <w:highlight w:val="none"/>
          <w:lang w:val="zh-CN"/>
        </w:rPr>
        <w:t>第二十一条第三款规定的情形外，在采购过程中符合要求的供应商或者报价未超过采购预算的供应商不足3家的。</w:t>
      </w:r>
    </w:p>
    <w:p w14:paraId="2EBE49C4">
      <w:pPr>
        <w:adjustRightInd w:val="0"/>
        <w:snapToGrid w:val="0"/>
        <w:spacing w:before="156" w:beforeLines="50" w:line="360" w:lineRule="auto"/>
        <w:ind w:firstLine="420"/>
        <w:jc w:val="left"/>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w:t>
      </w:r>
      <w:r>
        <w:rPr>
          <w:rFonts w:hint="eastAsia" w:ascii="宋体" w:hAnsi="宋体" w:eastAsia="宋体" w:cs="宋体"/>
          <w:b w:val="0"/>
          <w:bCs w:val="0"/>
          <w:color w:val="auto"/>
          <w:kern w:val="0"/>
          <w:sz w:val="21"/>
          <w:szCs w:val="21"/>
          <w:highlight w:val="none"/>
          <w:lang w:val="en-US" w:eastAsia="zh-CN"/>
        </w:rPr>
        <w:t>4</w:t>
      </w:r>
      <w:r>
        <w:rPr>
          <w:rFonts w:hint="eastAsia" w:ascii="宋体" w:hAnsi="宋体" w:eastAsia="宋体" w:cs="宋体"/>
          <w:b w:val="0"/>
          <w:bCs w:val="0"/>
          <w:color w:val="auto"/>
          <w:kern w:val="0"/>
          <w:sz w:val="21"/>
          <w:szCs w:val="21"/>
          <w:highlight w:val="none"/>
        </w:rPr>
        <w:t>）</w:t>
      </w:r>
      <w:r>
        <w:rPr>
          <w:rFonts w:hint="eastAsia" w:ascii="宋体" w:hAnsi="宋体" w:eastAsia="宋体" w:cs="宋体"/>
          <w:b w:val="0"/>
          <w:bCs w:val="0"/>
          <w:color w:val="auto"/>
          <w:sz w:val="21"/>
          <w:szCs w:val="21"/>
          <w:highlight w:val="none"/>
        </w:rPr>
        <w:t>因重大变故，采购任务取消的。</w:t>
      </w:r>
    </w:p>
    <w:p w14:paraId="37DABBB6">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31.重新评审</w:t>
      </w:r>
      <w:bookmarkEnd w:id="110"/>
      <w:bookmarkEnd w:id="111"/>
    </w:p>
    <w:p w14:paraId="5C36718C">
      <w:pPr>
        <w:adjustRightInd w:val="0"/>
        <w:snapToGrid w:val="0"/>
        <w:spacing w:before="156" w:beforeLines="50" w:line="360" w:lineRule="auto"/>
        <w:ind w:firstLine="420" w:firstLineChars="200"/>
        <w:jc w:val="left"/>
        <w:outlineLvl w:val="9"/>
        <w:rPr>
          <w:rFonts w:hint="eastAsia" w:ascii="宋体" w:hAnsi="宋体" w:eastAsia="宋体" w:cs="宋体"/>
          <w:color w:val="auto"/>
          <w:kern w:val="0"/>
          <w:sz w:val="21"/>
          <w:szCs w:val="21"/>
        </w:rPr>
      </w:pPr>
      <w:bookmarkStart w:id="112" w:name="_Toc107998000"/>
      <w:bookmarkStart w:id="113" w:name="_Toc107997873"/>
      <w:r>
        <w:rPr>
          <w:rFonts w:hint="eastAsia" w:ascii="宋体" w:hAnsi="宋体" w:eastAsia="宋体" w:cs="宋体"/>
          <w:color w:val="auto"/>
          <w:kern w:val="0"/>
          <w:sz w:val="21"/>
          <w:szCs w:val="21"/>
        </w:rPr>
        <w:t>31.1除资格性审查认定错误</w:t>
      </w:r>
      <w:r>
        <w:rPr>
          <w:rFonts w:hint="eastAsia" w:ascii="宋体" w:hAnsi="宋体" w:eastAsia="宋体" w:cs="宋体"/>
          <w:color w:val="auto"/>
          <w:kern w:val="0"/>
          <w:sz w:val="21"/>
          <w:szCs w:val="21"/>
          <w:lang w:eastAsia="zh-CN"/>
        </w:rPr>
        <w:t>、分值汇总</w:t>
      </w:r>
      <w:r>
        <w:rPr>
          <w:rFonts w:hint="eastAsia" w:ascii="宋体" w:hAnsi="宋体" w:eastAsia="宋体" w:cs="宋体"/>
          <w:color w:val="auto"/>
          <w:kern w:val="0"/>
          <w:sz w:val="21"/>
          <w:szCs w:val="21"/>
        </w:rPr>
        <w:t>计算错误</w:t>
      </w:r>
      <w:r>
        <w:rPr>
          <w:rFonts w:hint="eastAsia" w:ascii="宋体" w:hAnsi="宋体" w:eastAsia="宋体" w:cs="宋体"/>
          <w:color w:val="auto"/>
          <w:kern w:val="0"/>
          <w:sz w:val="21"/>
          <w:szCs w:val="21"/>
          <w:lang w:eastAsia="zh-CN"/>
        </w:rPr>
        <w:t>、</w:t>
      </w:r>
      <w:r>
        <w:rPr>
          <w:rFonts w:ascii="Arial" w:hAnsi="Arial" w:cs="Arial"/>
          <w:color w:val="auto"/>
          <w:kern w:val="0"/>
          <w:szCs w:val="21"/>
        </w:rPr>
        <w:t>分项评分超出评分标准范围、客观分评分不一致、经磋商小组一致认定评分畸高、畸低的情形外</w:t>
      </w:r>
      <w:r>
        <w:rPr>
          <w:rFonts w:hint="eastAsia" w:ascii="宋体" w:hAnsi="宋体" w:eastAsia="宋体" w:cs="宋体"/>
          <w:color w:val="auto"/>
          <w:kern w:val="0"/>
          <w:sz w:val="21"/>
          <w:szCs w:val="21"/>
        </w:rPr>
        <w:t>，采购人、采购代理机构不以任何理由组织重新评审。</w:t>
      </w:r>
    </w:p>
    <w:p w14:paraId="3ECB862F">
      <w:pPr>
        <w:adjustRightInd w:val="0"/>
        <w:snapToGrid w:val="0"/>
        <w:spacing w:before="156" w:beforeLines="50"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采购人、采购代理机构发现</w:t>
      </w:r>
      <w:r>
        <w:rPr>
          <w:rFonts w:hint="eastAsia" w:ascii="宋体" w:hAnsi="宋体" w:eastAsia="宋体" w:cs="宋体"/>
          <w:color w:val="auto"/>
          <w:kern w:val="0"/>
          <w:sz w:val="21"/>
          <w:szCs w:val="21"/>
          <w:lang w:eastAsia="zh-CN"/>
        </w:rPr>
        <w:t>磋商</w:t>
      </w:r>
      <w:r>
        <w:rPr>
          <w:rFonts w:hint="eastAsia" w:ascii="宋体" w:hAnsi="宋体" w:eastAsia="宋体" w:cs="宋体"/>
          <w:color w:val="auto"/>
          <w:kern w:val="0"/>
          <w:sz w:val="21"/>
          <w:szCs w:val="21"/>
        </w:rPr>
        <w:t>小组未按照</w:t>
      </w:r>
      <w:r>
        <w:rPr>
          <w:rFonts w:hint="eastAsia" w:ascii="宋体" w:hAnsi="宋体" w:eastAsia="宋体" w:cs="宋体"/>
          <w:color w:val="auto"/>
          <w:kern w:val="0"/>
          <w:sz w:val="21"/>
          <w:szCs w:val="21"/>
          <w:lang w:eastAsia="zh-CN"/>
        </w:rPr>
        <w:t>磋商</w:t>
      </w:r>
      <w:r>
        <w:rPr>
          <w:rFonts w:hint="eastAsia" w:ascii="宋体" w:hAnsi="宋体" w:eastAsia="宋体" w:cs="宋体"/>
          <w:color w:val="auto"/>
          <w:kern w:val="0"/>
          <w:sz w:val="21"/>
          <w:szCs w:val="21"/>
        </w:rPr>
        <w:t>文件规定的评定成交的标准进行评审的，应当重新开展采购活动，并同时书面报告怀化市鹤城区城市建设投资有限公司纪检监察室。</w:t>
      </w:r>
    </w:p>
    <w:p w14:paraId="2584467E">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32.保密及串通行为</w:t>
      </w:r>
      <w:bookmarkEnd w:id="112"/>
      <w:bookmarkEnd w:id="113"/>
    </w:p>
    <w:p w14:paraId="76F0F707">
      <w:pPr>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bookmarkStart w:id="114" w:name="_Toc107998001"/>
      <w:bookmarkStart w:id="115" w:name="_Toc30744"/>
      <w:r>
        <w:rPr>
          <w:rFonts w:hint="eastAsia" w:ascii="宋体" w:hAnsi="宋体" w:eastAsia="宋体" w:cs="宋体"/>
          <w:color w:val="auto"/>
          <w:sz w:val="21"/>
          <w:szCs w:val="21"/>
        </w:rPr>
        <w:t>32.1</w:t>
      </w:r>
      <w:r>
        <w:rPr>
          <w:rFonts w:hint="eastAsia" w:ascii="宋体" w:hAnsi="宋体" w:eastAsia="宋体" w:cs="宋体"/>
          <w:color w:val="auto"/>
          <w:sz w:val="21"/>
          <w:szCs w:val="21"/>
          <w:lang w:eastAsia="zh-CN"/>
        </w:rPr>
        <w:t>磋商</w:t>
      </w:r>
      <w:r>
        <w:rPr>
          <w:rFonts w:hint="eastAsia" w:ascii="宋体" w:hAnsi="宋体" w:eastAsia="宋体" w:cs="宋体"/>
          <w:color w:val="auto"/>
          <w:sz w:val="21"/>
          <w:szCs w:val="21"/>
        </w:rPr>
        <w:t>小组成员以及与评审工作有关的人员不得泄露评审情况以及评审过程中获悉的国家秘密、商业秘密。</w:t>
      </w:r>
    </w:p>
    <w:p w14:paraId="7BBF5DAA">
      <w:pPr>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32.2</w:t>
      </w:r>
      <w:r>
        <w:rPr>
          <w:rFonts w:hint="eastAsia" w:ascii="宋体" w:hAnsi="宋体" w:eastAsia="宋体" w:cs="宋体"/>
          <w:color w:val="auto"/>
          <w:kern w:val="0"/>
          <w:sz w:val="21"/>
          <w:szCs w:val="21"/>
        </w:rPr>
        <w:t>供应商</w:t>
      </w:r>
      <w:r>
        <w:rPr>
          <w:rFonts w:hint="eastAsia" w:ascii="宋体" w:hAnsi="宋体" w:eastAsia="宋体" w:cs="宋体"/>
          <w:color w:val="auto"/>
          <w:sz w:val="21"/>
          <w:szCs w:val="21"/>
        </w:rPr>
        <w:t>不得与</w:t>
      </w:r>
      <w:r>
        <w:rPr>
          <w:rFonts w:hint="eastAsia" w:ascii="宋体" w:hAnsi="宋体" w:eastAsia="宋体" w:cs="宋体"/>
          <w:color w:val="auto"/>
          <w:kern w:val="0"/>
          <w:sz w:val="21"/>
          <w:szCs w:val="21"/>
        </w:rPr>
        <w:t>采购人、采购代理机构、其他供应商恶意</w:t>
      </w:r>
      <w:r>
        <w:rPr>
          <w:rFonts w:hint="eastAsia" w:ascii="宋体" w:hAnsi="宋体" w:eastAsia="宋体" w:cs="宋体"/>
          <w:color w:val="auto"/>
          <w:sz w:val="21"/>
          <w:szCs w:val="21"/>
        </w:rPr>
        <w:t>串通；不得向</w:t>
      </w:r>
      <w:r>
        <w:rPr>
          <w:rFonts w:hint="eastAsia" w:ascii="宋体" w:hAnsi="宋体" w:eastAsia="宋体" w:cs="宋体"/>
          <w:color w:val="auto"/>
          <w:kern w:val="0"/>
          <w:sz w:val="21"/>
          <w:szCs w:val="21"/>
        </w:rPr>
        <w:t>采购人、采购代理机构</w:t>
      </w:r>
      <w:r>
        <w:rPr>
          <w:rFonts w:hint="eastAsia" w:ascii="宋体" w:hAnsi="宋体" w:eastAsia="宋体" w:cs="宋体"/>
          <w:color w:val="auto"/>
          <w:sz w:val="21"/>
          <w:szCs w:val="21"/>
        </w:rPr>
        <w:t>或者</w:t>
      </w:r>
      <w:r>
        <w:rPr>
          <w:rFonts w:hint="eastAsia" w:ascii="宋体" w:hAnsi="宋体" w:eastAsia="宋体" w:cs="宋体"/>
          <w:color w:val="auto"/>
          <w:sz w:val="21"/>
          <w:szCs w:val="21"/>
          <w:lang w:eastAsia="zh-CN"/>
        </w:rPr>
        <w:t>磋商</w:t>
      </w:r>
      <w:r>
        <w:rPr>
          <w:rFonts w:hint="eastAsia" w:ascii="宋体" w:hAnsi="宋体" w:eastAsia="宋体" w:cs="宋体"/>
          <w:color w:val="auto"/>
          <w:sz w:val="21"/>
          <w:szCs w:val="21"/>
        </w:rPr>
        <w:t>小组成员行贿或者提供其他不正当利益；不得提供虚假材料谋取成交；不得以任何方式干扰、影响采购工作。</w:t>
      </w:r>
    </w:p>
    <w:p w14:paraId="2597A778">
      <w:pPr>
        <w:pStyle w:val="19"/>
        <w:widowControl w:val="0"/>
        <w:adjustRightInd w:val="0"/>
        <w:snapToGrid w:val="0"/>
        <w:spacing w:before="156" w:beforeLines="50" w:beforeAutospacing="0" w:after="0" w:afterAutospacing="0" w:line="360" w:lineRule="auto"/>
        <w:ind w:firstLine="420" w:firstLineChars="20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rPr>
        <w:t>32.3有下列情形之一的，</w:t>
      </w:r>
      <w:r>
        <w:rPr>
          <w:rFonts w:hint="eastAsia" w:ascii="宋体" w:hAnsi="宋体" w:eastAsia="宋体" w:cs="宋体"/>
          <w:color w:val="auto"/>
          <w:sz w:val="21"/>
          <w:szCs w:val="21"/>
          <w:lang w:val="zh-CN"/>
        </w:rPr>
        <w:t>属于恶意串通，</w:t>
      </w:r>
      <w:r>
        <w:rPr>
          <w:rFonts w:hint="eastAsia" w:ascii="宋体" w:hAnsi="宋体" w:eastAsia="宋体" w:cs="宋体"/>
          <w:color w:val="auto"/>
          <w:sz w:val="21"/>
          <w:szCs w:val="21"/>
        </w:rPr>
        <w:t>成交无效，并</w:t>
      </w:r>
      <w:r>
        <w:rPr>
          <w:rFonts w:hint="eastAsia" w:ascii="宋体" w:hAnsi="宋体" w:eastAsia="宋体" w:cs="宋体"/>
          <w:color w:val="auto"/>
          <w:sz w:val="21"/>
          <w:szCs w:val="21"/>
          <w:lang w:val="zh-CN"/>
        </w:rPr>
        <w:t>依照《政府采购法》第七十七条的规定追究法律责任：</w:t>
      </w:r>
    </w:p>
    <w:p w14:paraId="0A5485DB">
      <w:pPr>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（1）供应商直接或者间接从</w:t>
      </w:r>
      <w:r>
        <w:rPr>
          <w:rFonts w:hint="eastAsia" w:ascii="宋体" w:hAnsi="宋体" w:eastAsia="宋体" w:cs="宋体"/>
          <w:bCs/>
          <w:color w:val="auto"/>
          <w:sz w:val="21"/>
          <w:szCs w:val="21"/>
        </w:rPr>
        <w:t>采购人、采购代理机构</w:t>
      </w:r>
      <w:r>
        <w:rPr>
          <w:rFonts w:hint="eastAsia" w:ascii="宋体" w:hAnsi="宋体" w:eastAsia="宋体" w:cs="宋体"/>
          <w:color w:val="auto"/>
          <w:sz w:val="21"/>
          <w:szCs w:val="21"/>
        </w:rPr>
        <w:t>获得其他供应商的响应情况，并修改其响应文件的；</w:t>
      </w:r>
    </w:p>
    <w:p w14:paraId="687F55D2">
      <w:pPr>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bCs/>
          <w:color w:val="auto"/>
          <w:sz w:val="21"/>
          <w:szCs w:val="21"/>
        </w:rPr>
        <w:t>采购人、采购代理机构</w:t>
      </w:r>
      <w:r>
        <w:rPr>
          <w:rFonts w:hint="eastAsia" w:ascii="宋体" w:hAnsi="宋体" w:eastAsia="宋体" w:cs="宋体"/>
          <w:color w:val="auto"/>
          <w:sz w:val="21"/>
          <w:szCs w:val="21"/>
        </w:rPr>
        <w:t>授意供应商撤换、修改响应文件的；</w:t>
      </w:r>
    </w:p>
    <w:p w14:paraId="6D73A8C2">
      <w:pPr>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（3）供应商之间协商技术方案、合同条款以及报价等响应文件实质性内容的；</w:t>
      </w:r>
    </w:p>
    <w:p w14:paraId="5024A27A">
      <w:pPr>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（4）属于同一集团、协会、商会等组织成员的供应商按照该组织要求协同参加竞争性</w:t>
      </w:r>
      <w:r>
        <w:rPr>
          <w:rFonts w:hint="eastAsia" w:ascii="宋体" w:hAnsi="宋体" w:eastAsia="宋体" w:cs="宋体"/>
          <w:color w:val="auto"/>
          <w:sz w:val="21"/>
          <w:szCs w:val="21"/>
          <w:lang w:eastAsia="zh-CN"/>
        </w:rPr>
        <w:t>磋商</w:t>
      </w:r>
      <w:r>
        <w:rPr>
          <w:rFonts w:hint="eastAsia" w:ascii="宋体" w:hAnsi="宋体" w:eastAsia="宋体" w:cs="宋体"/>
          <w:color w:val="auto"/>
          <w:sz w:val="21"/>
          <w:szCs w:val="21"/>
        </w:rPr>
        <w:t>政府采购活动的；</w:t>
      </w:r>
    </w:p>
    <w:p w14:paraId="3F784195">
      <w:pPr>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（5）供应商之间事先约定由某一特定供应商成交的；</w:t>
      </w:r>
    </w:p>
    <w:p w14:paraId="3A57671B">
      <w:pPr>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（6）供应商之间商定部分供应商放弃提交响应文件或者退出</w:t>
      </w:r>
      <w:r>
        <w:rPr>
          <w:rFonts w:hint="eastAsia" w:ascii="宋体" w:hAnsi="宋体" w:eastAsia="宋体" w:cs="宋体"/>
          <w:color w:val="auto"/>
          <w:sz w:val="21"/>
          <w:szCs w:val="21"/>
          <w:lang w:eastAsia="zh-CN"/>
        </w:rPr>
        <w:t>磋商</w:t>
      </w:r>
      <w:r>
        <w:rPr>
          <w:rFonts w:hint="eastAsia" w:ascii="宋体" w:hAnsi="宋体" w:eastAsia="宋体" w:cs="宋体"/>
          <w:color w:val="auto"/>
          <w:sz w:val="21"/>
          <w:szCs w:val="21"/>
        </w:rPr>
        <w:t>或者放弃成交的；</w:t>
      </w:r>
    </w:p>
    <w:p w14:paraId="455567CE">
      <w:pPr>
        <w:adjustRightInd w:val="0"/>
        <w:snapToGrid w:val="0"/>
        <w:spacing w:before="156" w:beforeLines="50" w:line="360" w:lineRule="auto"/>
        <w:ind w:firstLine="420" w:firstLineChars="200"/>
        <w:outlineLvl w:val="9"/>
        <w:rPr>
          <w:rFonts w:hint="eastAsia" w:ascii="宋体" w:hAnsi="宋体" w:eastAsia="宋体" w:cs="宋体"/>
          <w:b/>
          <w:color w:val="auto"/>
          <w:sz w:val="21"/>
          <w:szCs w:val="21"/>
        </w:rPr>
      </w:pPr>
      <w:r>
        <w:rPr>
          <w:rFonts w:hint="eastAsia" w:ascii="宋体" w:hAnsi="宋体" w:eastAsia="宋体" w:cs="宋体"/>
          <w:color w:val="auto"/>
          <w:sz w:val="21"/>
          <w:szCs w:val="21"/>
        </w:rPr>
        <w:t>（7）供应商与</w:t>
      </w:r>
      <w:r>
        <w:rPr>
          <w:rFonts w:hint="eastAsia" w:ascii="宋体" w:hAnsi="宋体" w:eastAsia="宋体" w:cs="宋体"/>
          <w:bCs/>
          <w:color w:val="auto"/>
          <w:sz w:val="21"/>
          <w:szCs w:val="21"/>
        </w:rPr>
        <w:t>采购人、采购代理机构以及</w:t>
      </w:r>
      <w:r>
        <w:rPr>
          <w:rFonts w:hint="eastAsia" w:ascii="宋体" w:hAnsi="宋体" w:eastAsia="宋体" w:cs="宋体"/>
          <w:color w:val="auto"/>
          <w:sz w:val="21"/>
          <w:szCs w:val="21"/>
          <w:lang w:eastAsia="zh-CN"/>
        </w:rPr>
        <w:t>磋商</w:t>
      </w:r>
      <w:r>
        <w:rPr>
          <w:rFonts w:hint="eastAsia" w:ascii="宋体" w:hAnsi="宋体" w:eastAsia="宋体" w:cs="宋体"/>
          <w:color w:val="auto"/>
          <w:sz w:val="21"/>
          <w:szCs w:val="21"/>
        </w:rPr>
        <w:t>小组成员之间、供应商相互之间，为谋求特定供应商成交或者排斥其他供应商的其他串通行为的。</w:t>
      </w:r>
    </w:p>
    <w:p w14:paraId="20CCBEEA">
      <w:pPr>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（8）法律、行政法规或规章规定的其他串通行为。</w:t>
      </w:r>
    </w:p>
    <w:p w14:paraId="08BF92DF">
      <w:pPr>
        <w:adjustRightInd w:val="0"/>
        <w:snapToGrid w:val="0"/>
        <w:spacing w:line="360" w:lineRule="auto"/>
        <w:jc w:val="center"/>
        <w:outlineLvl w:val="9"/>
        <w:rPr>
          <w:rFonts w:hint="eastAsia" w:ascii="黑体" w:hAnsi="黑体" w:eastAsia="黑体"/>
          <w:b/>
          <w:bCs/>
          <w:color w:val="auto"/>
          <w:sz w:val="28"/>
          <w:szCs w:val="28"/>
        </w:rPr>
      </w:pPr>
    </w:p>
    <w:p w14:paraId="6D25455A">
      <w:pPr>
        <w:pStyle w:val="21"/>
        <w:spacing w:line="360" w:lineRule="auto"/>
        <w:outlineLvl w:val="9"/>
        <w:rPr>
          <w:rFonts w:hint="eastAsia"/>
        </w:rPr>
      </w:pPr>
    </w:p>
    <w:p w14:paraId="0E7A66DA">
      <w:pPr>
        <w:adjustRightInd w:val="0"/>
        <w:snapToGrid w:val="0"/>
        <w:spacing w:line="360" w:lineRule="auto"/>
        <w:jc w:val="center"/>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六、成交结果信息公布与授予合同</w:t>
      </w:r>
      <w:bookmarkEnd w:id="114"/>
      <w:bookmarkEnd w:id="115"/>
    </w:p>
    <w:p w14:paraId="7B7B7AD5">
      <w:pPr>
        <w:spacing w:line="360" w:lineRule="auto"/>
        <w:outlineLvl w:val="9"/>
        <w:rPr>
          <w:rFonts w:hint="eastAsia" w:ascii="宋体" w:hAnsi="宋体" w:eastAsia="宋体" w:cs="宋体"/>
          <w:b/>
          <w:bCs/>
          <w:color w:val="auto"/>
          <w:sz w:val="22"/>
          <w:szCs w:val="22"/>
          <w:lang w:val="en-US" w:eastAsia="zh-CN"/>
        </w:rPr>
      </w:pPr>
      <w:bookmarkStart w:id="116" w:name="_Toc107998002"/>
      <w:bookmarkStart w:id="117" w:name="_Toc107997875"/>
      <w:r>
        <w:rPr>
          <w:rFonts w:hint="eastAsia" w:ascii="宋体" w:hAnsi="宋体" w:eastAsia="宋体" w:cs="宋体"/>
          <w:b/>
          <w:bCs/>
          <w:color w:val="auto"/>
          <w:sz w:val="22"/>
          <w:szCs w:val="22"/>
          <w:lang w:val="en-US" w:eastAsia="zh-CN"/>
        </w:rPr>
        <w:t>33.成交信息的公布与成交通知书</w:t>
      </w:r>
      <w:bookmarkEnd w:id="116"/>
      <w:bookmarkEnd w:id="117"/>
    </w:p>
    <w:p w14:paraId="35901E42">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3</w:t>
      </w:r>
      <w:r>
        <w:rPr>
          <w:rFonts w:hint="eastAsia" w:ascii="宋体" w:hAnsi="宋体" w:cs="Courier New"/>
          <w:color w:val="auto"/>
          <w:szCs w:val="21"/>
          <w:lang w:val="en-US" w:eastAsia="zh-CN"/>
        </w:rPr>
        <w:t>3</w:t>
      </w:r>
      <w:r>
        <w:rPr>
          <w:rFonts w:hint="eastAsia" w:ascii="宋体" w:hAnsi="宋体" w:cs="Courier New"/>
          <w:color w:val="auto"/>
          <w:szCs w:val="21"/>
        </w:rPr>
        <w:t>.1采购人、采购代理机构应当自采购人确定成交供应商之日起2个工作日内，发出成交通知书，并在</w:t>
      </w:r>
      <w:r>
        <w:rPr>
          <w:rFonts w:hint="eastAsia" w:ascii="宋体" w:hAnsi="宋体" w:cs="Courier New"/>
          <w:b/>
          <w:color w:val="auto"/>
          <w:szCs w:val="21"/>
        </w:rPr>
        <w:t>【</w:t>
      </w:r>
      <w:r>
        <w:rPr>
          <w:rFonts w:hint="eastAsia" w:ascii="宋体" w:hAnsi="宋体" w:cs="Courier New"/>
          <w:b/>
          <w:color w:val="auto"/>
          <w:szCs w:val="21"/>
          <w:lang w:eastAsia="zh-CN"/>
        </w:rPr>
        <w:t>磋商</w:t>
      </w:r>
      <w:r>
        <w:rPr>
          <w:rFonts w:hint="eastAsia" w:ascii="宋体" w:hAnsi="宋体" w:cs="Courier New"/>
          <w:b/>
          <w:color w:val="auto"/>
          <w:szCs w:val="21"/>
        </w:rPr>
        <w:t>须知前附表】</w:t>
      </w:r>
      <w:r>
        <w:rPr>
          <w:rFonts w:hint="eastAsia" w:ascii="宋体" w:hAnsi="宋体" w:cs="Courier New"/>
          <w:color w:val="auto"/>
          <w:szCs w:val="21"/>
        </w:rPr>
        <w:t>指定媒体上公告成交结果，竞争性</w:t>
      </w:r>
      <w:r>
        <w:rPr>
          <w:rFonts w:hint="eastAsia" w:ascii="宋体" w:hAnsi="宋体" w:cs="Courier New"/>
          <w:color w:val="auto"/>
          <w:szCs w:val="21"/>
          <w:lang w:eastAsia="zh-CN"/>
        </w:rPr>
        <w:t>磋商</w:t>
      </w:r>
      <w:r>
        <w:rPr>
          <w:rFonts w:hint="eastAsia" w:ascii="宋体" w:hAnsi="宋体" w:cs="Courier New"/>
          <w:color w:val="auto"/>
          <w:szCs w:val="21"/>
        </w:rPr>
        <w:t>文件随成交结果同时公告，成交结果公告期限为</w:t>
      </w:r>
      <w:r>
        <w:rPr>
          <w:rFonts w:hint="eastAsia" w:ascii="宋体" w:hAnsi="宋体" w:cs="Courier New"/>
          <w:color w:val="auto"/>
          <w:szCs w:val="21"/>
          <w:lang w:val="en-US" w:eastAsia="zh-CN"/>
        </w:rPr>
        <w:t>1</w:t>
      </w:r>
      <w:r>
        <w:rPr>
          <w:rFonts w:hint="eastAsia" w:ascii="宋体" w:hAnsi="宋体" w:cs="Courier New"/>
          <w:color w:val="auto"/>
          <w:szCs w:val="21"/>
        </w:rPr>
        <w:t>个工作日。</w:t>
      </w:r>
    </w:p>
    <w:p w14:paraId="44DF2538">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3</w:t>
      </w:r>
      <w:r>
        <w:rPr>
          <w:rFonts w:hint="eastAsia" w:ascii="宋体" w:hAnsi="宋体" w:cs="Courier New"/>
          <w:color w:val="auto"/>
          <w:szCs w:val="21"/>
          <w:lang w:val="en-US" w:eastAsia="zh-CN"/>
        </w:rPr>
        <w:t>3</w:t>
      </w:r>
      <w:r>
        <w:rPr>
          <w:rFonts w:hint="eastAsia" w:ascii="宋体" w:hAnsi="宋体" w:cs="Courier New"/>
          <w:color w:val="auto"/>
          <w:szCs w:val="21"/>
        </w:rPr>
        <w:t>.2成交供应商确定后，采购人、采购代理机构将以书面形式向成交供应商发出成交通知书。成交通知书对采购人和成交供应商具有同等法律效力。</w:t>
      </w:r>
    </w:p>
    <w:p w14:paraId="5713DC62">
      <w:pPr>
        <w:adjustRightInd w:val="0"/>
        <w:snapToGrid w:val="0"/>
        <w:spacing w:line="360" w:lineRule="auto"/>
        <w:ind w:firstLine="420" w:firstLineChars="200"/>
        <w:outlineLvl w:val="9"/>
        <w:rPr>
          <w:rFonts w:ascii="宋体" w:hAnsi="Courier New" w:cs="Courier New"/>
          <w:color w:val="auto"/>
          <w:szCs w:val="21"/>
        </w:rPr>
      </w:pPr>
      <w:r>
        <w:rPr>
          <w:rFonts w:hint="eastAsia" w:ascii="宋体" w:hAnsi="宋体" w:cs="Courier New"/>
          <w:color w:val="auto"/>
          <w:szCs w:val="21"/>
        </w:rPr>
        <w:t>3</w:t>
      </w:r>
      <w:r>
        <w:rPr>
          <w:rFonts w:hint="eastAsia" w:ascii="宋体" w:hAnsi="宋体" w:cs="Courier New"/>
          <w:color w:val="auto"/>
          <w:szCs w:val="21"/>
          <w:lang w:val="en-US" w:eastAsia="zh-CN"/>
        </w:rPr>
        <w:t>3</w:t>
      </w:r>
      <w:r>
        <w:rPr>
          <w:rFonts w:hint="eastAsia" w:ascii="宋体" w:hAnsi="宋体" w:cs="Courier New"/>
          <w:color w:val="auto"/>
          <w:szCs w:val="21"/>
        </w:rPr>
        <w:t>.3成交通知书是合同文件的组成部分。</w:t>
      </w:r>
    </w:p>
    <w:p w14:paraId="19C70189">
      <w:pPr>
        <w:spacing w:line="360" w:lineRule="auto"/>
        <w:outlineLvl w:val="9"/>
        <w:rPr>
          <w:rFonts w:hint="eastAsia" w:ascii="宋体" w:hAnsi="宋体" w:eastAsia="宋体" w:cs="宋体"/>
          <w:b/>
          <w:bCs/>
          <w:color w:val="auto"/>
          <w:sz w:val="22"/>
          <w:szCs w:val="22"/>
          <w:lang w:val="en-US" w:eastAsia="zh-CN"/>
        </w:rPr>
      </w:pPr>
      <w:bookmarkStart w:id="118" w:name="_Toc107998003"/>
      <w:bookmarkStart w:id="119" w:name="_Toc107997876"/>
      <w:r>
        <w:rPr>
          <w:rFonts w:hint="eastAsia" w:ascii="宋体" w:hAnsi="宋体" w:eastAsia="宋体" w:cs="宋体"/>
          <w:b/>
          <w:bCs/>
          <w:color w:val="auto"/>
          <w:sz w:val="22"/>
          <w:szCs w:val="22"/>
          <w:lang w:val="en-US" w:eastAsia="zh-CN"/>
        </w:rPr>
        <w:t>34.询问及质疑</w:t>
      </w:r>
      <w:bookmarkEnd w:id="118"/>
      <w:bookmarkEnd w:id="119"/>
    </w:p>
    <w:p w14:paraId="5695E1A0">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3</w:t>
      </w:r>
      <w:r>
        <w:rPr>
          <w:rFonts w:hint="eastAsia" w:ascii="宋体" w:hAnsi="宋体"/>
          <w:color w:val="auto"/>
          <w:szCs w:val="21"/>
          <w:lang w:val="en-US" w:eastAsia="zh-CN"/>
        </w:rPr>
        <w:t>4</w:t>
      </w:r>
      <w:r>
        <w:rPr>
          <w:rFonts w:hint="eastAsia" w:ascii="宋体" w:hAnsi="宋体"/>
          <w:color w:val="auto"/>
          <w:szCs w:val="21"/>
        </w:rPr>
        <w:t>.1供应商对政府采购活动事项有疑问的，可以向采购人、采购代理机构提出询问。采购人或采购代理机构将在3个工作日内作出答复。</w:t>
      </w:r>
    </w:p>
    <w:p w14:paraId="0E3EAD5E">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3</w:t>
      </w:r>
      <w:r>
        <w:rPr>
          <w:rFonts w:hint="eastAsia" w:ascii="宋体" w:hAnsi="宋体"/>
          <w:color w:val="auto"/>
          <w:szCs w:val="21"/>
          <w:lang w:val="en-US" w:eastAsia="zh-CN"/>
        </w:rPr>
        <w:t>4</w:t>
      </w:r>
      <w:r>
        <w:rPr>
          <w:rFonts w:hint="eastAsia" w:ascii="宋体" w:hAnsi="宋体"/>
          <w:color w:val="auto"/>
          <w:szCs w:val="21"/>
        </w:rPr>
        <w:t>.2供应商若认为</w:t>
      </w:r>
      <w:r>
        <w:rPr>
          <w:rFonts w:hint="eastAsia" w:ascii="宋体" w:hAnsi="宋体"/>
          <w:color w:val="auto"/>
          <w:szCs w:val="21"/>
          <w:lang w:eastAsia="zh-CN"/>
        </w:rPr>
        <w:t>磋商</w:t>
      </w:r>
      <w:r>
        <w:rPr>
          <w:rFonts w:hint="eastAsia" w:ascii="宋体" w:hAnsi="宋体"/>
          <w:color w:val="auto"/>
          <w:szCs w:val="21"/>
        </w:rPr>
        <w:t>文件、采购过程和成交结果使自己的权益受到损害，可以按法律、规章及《湖南省财政厅关于印发＜政府采购质疑答复和投诉处理操作规程＞的通知》(湘财购〔2019〕20号)文件规定向采购人、采购代理机构提出质疑。供应商应当在法定质疑期内一次性提出针对同一采购程序环节的质疑。</w:t>
      </w:r>
    </w:p>
    <w:p w14:paraId="738DFA7C">
      <w:pPr>
        <w:adjustRightInd w:val="0"/>
        <w:snapToGrid w:val="0"/>
        <w:spacing w:line="360" w:lineRule="auto"/>
        <w:ind w:firstLine="420" w:firstLineChars="200"/>
        <w:jc w:val="left"/>
        <w:outlineLvl w:val="9"/>
        <w:rPr>
          <w:rFonts w:ascii="宋体" w:hAnsi="宋体" w:eastAsia="宋体"/>
          <w:color w:val="auto"/>
          <w:szCs w:val="21"/>
        </w:rPr>
      </w:pPr>
      <w:r>
        <w:rPr>
          <w:rFonts w:hint="eastAsia" w:ascii="宋体" w:hAnsi="宋体"/>
          <w:color w:val="auto"/>
          <w:szCs w:val="21"/>
        </w:rPr>
        <w:t>3</w:t>
      </w:r>
      <w:r>
        <w:rPr>
          <w:rFonts w:hint="eastAsia" w:ascii="宋体" w:hAnsi="宋体"/>
          <w:color w:val="auto"/>
          <w:szCs w:val="21"/>
          <w:lang w:val="en-US" w:eastAsia="zh-CN"/>
        </w:rPr>
        <w:t>4</w:t>
      </w:r>
      <w:r>
        <w:rPr>
          <w:rFonts w:hint="eastAsia" w:ascii="宋体" w:hAnsi="宋体"/>
          <w:color w:val="auto"/>
          <w:szCs w:val="21"/>
        </w:rPr>
        <w:t>.3供应商</w:t>
      </w:r>
      <w:r>
        <w:rPr>
          <w:rFonts w:hint="eastAsia" w:ascii="宋体" w:hAnsi="宋体" w:eastAsia="宋体"/>
          <w:color w:val="auto"/>
          <w:szCs w:val="21"/>
        </w:rPr>
        <w:t>提出质疑的，</w:t>
      </w:r>
      <w:r>
        <w:rPr>
          <w:rFonts w:hint="eastAsia" w:ascii="宋体" w:hAnsi="宋体"/>
          <w:color w:val="auto"/>
          <w:szCs w:val="21"/>
        </w:rPr>
        <w:t>质疑函</w:t>
      </w:r>
      <w:r>
        <w:rPr>
          <w:rFonts w:hint="eastAsia" w:ascii="宋体" w:hAnsi="宋体" w:eastAsia="宋体"/>
          <w:color w:val="auto"/>
          <w:szCs w:val="21"/>
        </w:rPr>
        <w:t>应按照《湖南省财政厅关于印发＜政府采购质疑答复和投诉处理操作规程＞的通知》规定制作、签署、送达。采购人、采购代理机构接收质疑函的联系部门、联系电话和通讯地址见</w:t>
      </w:r>
      <w:r>
        <w:rPr>
          <w:rFonts w:hint="eastAsia" w:ascii="宋体" w:hAnsi="宋体" w:eastAsia="宋体"/>
          <w:b/>
          <w:color w:val="auto"/>
          <w:szCs w:val="21"/>
        </w:rPr>
        <w:t>【</w:t>
      </w:r>
      <w:r>
        <w:rPr>
          <w:rFonts w:hint="eastAsia" w:ascii="宋体" w:hAnsi="宋体"/>
          <w:b/>
          <w:color w:val="auto"/>
          <w:szCs w:val="21"/>
          <w:lang w:eastAsia="zh-CN"/>
        </w:rPr>
        <w:t>磋商</w:t>
      </w:r>
      <w:r>
        <w:rPr>
          <w:rFonts w:hint="eastAsia" w:ascii="宋体" w:hAnsi="宋体" w:eastAsia="宋体"/>
          <w:b/>
          <w:color w:val="auto"/>
          <w:szCs w:val="21"/>
        </w:rPr>
        <w:t>须知前附表】</w:t>
      </w:r>
      <w:r>
        <w:rPr>
          <w:rFonts w:hint="eastAsia" w:ascii="宋体" w:hAnsi="宋体" w:eastAsia="宋体"/>
          <w:color w:val="auto"/>
          <w:szCs w:val="21"/>
        </w:rPr>
        <w:t>。</w:t>
      </w:r>
    </w:p>
    <w:p w14:paraId="62713D15">
      <w:pPr>
        <w:adjustRightInd w:val="0"/>
        <w:snapToGrid w:val="0"/>
        <w:spacing w:line="360" w:lineRule="auto"/>
        <w:ind w:firstLine="420" w:firstLineChars="200"/>
        <w:jc w:val="left"/>
        <w:outlineLvl w:val="9"/>
        <w:rPr>
          <w:rFonts w:ascii="宋体" w:hAnsi="宋体" w:eastAsia="宋体"/>
          <w:color w:val="auto"/>
          <w:szCs w:val="21"/>
        </w:rPr>
      </w:pPr>
      <w:r>
        <w:rPr>
          <w:rFonts w:hint="eastAsia" w:ascii="宋体" w:hAnsi="宋体" w:eastAsia="宋体"/>
          <w:color w:val="auto"/>
          <w:szCs w:val="21"/>
        </w:rPr>
        <w:t>3</w:t>
      </w:r>
      <w:r>
        <w:rPr>
          <w:rFonts w:hint="eastAsia" w:ascii="宋体" w:hAnsi="宋体"/>
          <w:color w:val="auto"/>
          <w:szCs w:val="21"/>
          <w:lang w:val="en-US" w:eastAsia="zh-CN"/>
        </w:rPr>
        <w:t>4</w:t>
      </w:r>
      <w:r>
        <w:rPr>
          <w:rFonts w:hint="eastAsia" w:ascii="宋体" w:hAnsi="宋体" w:eastAsia="宋体"/>
          <w:color w:val="auto"/>
          <w:szCs w:val="21"/>
        </w:rPr>
        <w:t>.4采购人、采购代理机构按照《湖南省财政厅关于印发＜政府采购质疑答复和投诉处理操作规程＞的通知》规定进行质疑答复。</w:t>
      </w:r>
    </w:p>
    <w:p w14:paraId="2639857E">
      <w:pPr>
        <w:pStyle w:val="32"/>
        <w:spacing w:line="360" w:lineRule="auto"/>
        <w:outlineLvl w:val="9"/>
        <w:rPr>
          <w:rFonts w:ascii="宋体" w:hAnsi="宋体" w:eastAsia="宋体"/>
          <w:color w:val="auto"/>
        </w:rPr>
      </w:pPr>
      <w:r>
        <w:rPr>
          <w:rFonts w:hint="eastAsia" w:ascii="宋体" w:hAnsi="宋体" w:eastAsia="宋体"/>
          <w:color w:val="auto"/>
        </w:rPr>
        <w:t>3</w:t>
      </w:r>
      <w:r>
        <w:rPr>
          <w:rFonts w:hint="eastAsia" w:ascii="宋体" w:hAnsi="宋体"/>
          <w:color w:val="auto"/>
          <w:lang w:val="en-US" w:eastAsia="zh-CN"/>
        </w:rPr>
        <w:t>4</w:t>
      </w:r>
      <w:r>
        <w:rPr>
          <w:rFonts w:hint="eastAsia" w:ascii="宋体" w:hAnsi="宋体" w:eastAsia="宋体"/>
          <w:color w:val="auto"/>
        </w:rPr>
        <w:t>.5供应商对采购人、采购代理机构的答复不满意，或采购人或采购代理机构未在规定的期限作出答复的，可在答复期满后15个工作日内，按照《湖南省财政厅关于印发＜政府采购质疑答复和投诉处理操作规程＞的通知》规定向怀化市鹤城区城市建设投资有限公司纪检监察室提出投诉。</w:t>
      </w:r>
    </w:p>
    <w:p w14:paraId="168B8B81">
      <w:pPr>
        <w:spacing w:line="360" w:lineRule="auto"/>
        <w:outlineLvl w:val="9"/>
        <w:rPr>
          <w:rFonts w:ascii="黑体" w:hAnsi="黑体" w:eastAsia="黑体"/>
          <w:b/>
          <w:bCs/>
          <w:color w:val="auto"/>
          <w:sz w:val="24"/>
        </w:rPr>
      </w:pPr>
      <w:bookmarkStart w:id="120" w:name="_Toc107998004"/>
      <w:bookmarkStart w:id="121" w:name="_Toc107997877"/>
      <w:r>
        <w:rPr>
          <w:rFonts w:hint="eastAsia" w:ascii="宋体" w:hAnsi="宋体" w:eastAsia="宋体" w:cs="宋体"/>
          <w:b/>
          <w:bCs/>
          <w:color w:val="auto"/>
          <w:sz w:val="22"/>
          <w:szCs w:val="22"/>
          <w:lang w:val="en-US" w:eastAsia="zh-CN"/>
        </w:rPr>
        <w:t>35.履约担保</w:t>
      </w:r>
      <w:bookmarkEnd w:id="120"/>
      <w:bookmarkEnd w:id="121"/>
    </w:p>
    <w:p w14:paraId="05C49F11">
      <w:pPr>
        <w:adjustRightInd w:val="0"/>
        <w:snapToGrid w:val="0"/>
        <w:spacing w:before="50" w:line="360" w:lineRule="auto"/>
        <w:ind w:firstLine="420" w:firstLineChars="200"/>
        <w:outlineLvl w:val="9"/>
        <w:rPr>
          <w:rFonts w:ascii="宋体" w:hAnsi="宋体"/>
          <w:color w:val="auto"/>
          <w:szCs w:val="21"/>
        </w:rPr>
      </w:pPr>
      <w:r>
        <w:rPr>
          <w:rFonts w:hint="eastAsia" w:ascii="宋体" w:hAnsi="宋体" w:cs="宋体"/>
          <w:color w:val="auto"/>
          <w:kern w:val="0"/>
          <w:szCs w:val="21"/>
        </w:rPr>
        <w:t>3</w:t>
      </w:r>
      <w:r>
        <w:rPr>
          <w:rFonts w:hint="eastAsia" w:ascii="宋体" w:hAnsi="宋体" w:cs="宋体"/>
          <w:color w:val="auto"/>
          <w:kern w:val="0"/>
          <w:szCs w:val="21"/>
          <w:lang w:val="en-US" w:eastAsia="zh-CN"/>
        </w:rPr>
        <w:t>5</w:t>
      </w:r>
      <w:r>
        <w:rPr>
          <w:rFonts w:hint="eastAsia" w:ascii="宋体" w:hAnsi="宋体" w:cs="宋体"/>
          <w:color w:val="auto"/>
          <w:kern w:val="0"/>
          <w:szCs w:val="21"/>
        </w:rPr>
        <w:t>.1</w:t>
      </w:r>
      <w:r>
        <w:rPr>
          <w:rFonts w:hint="eastAsia" w:ascii="宋体" w:hAnsi="宋体"/>
          <w:color w:val="auto"/>
          <w:szCs w:val="21"/>
          <w:lang w:eastAsia="zh-CN"/>
        </w:rPr>
        <w:t>磋商</w:t>
      </w:r>
      <w:r>
        <w:rPr>
          <w:rFonts w:hint="eastAsia" w:ascii="宋体" w:hAnsi="宋体"/>
          <w:color w:val="auto"/>
          <w:szCs w:val="21"/>
        </w:rPr>
        <w:t>文件要求成交供应商向采购人提交履约担保的，成交供应商应按照</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ascii="宋体" w:hAnsi="宋体"/>
          <w:color w:val="auto"/>
          <w:szCs w:val="21"/>
        </w:rPr>
        <w:t>的规定提交，供应商可用保函、电子增信替代履约保证金。联合体成交的，履约担保由联合体各方或联合体中牵头人的名义提交。</w:t>
      </w:r>
    </w:p>
    <w:p w14:paraId="266060AF">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3</w:t>
      </w:r>
      <w:r>
        <w:rPr>
          <w:rFonts w:hint="eastAsia" w:ascii="宋体" w:hAnsi="宋体" w:cs="Courier New"/>
          <w:color w:val="auto"/>
          <w:szCs w:val="21"/>
          <w:lang w:val="en-US" w:eastAsia="zh-CN"/>
        </w:rPr>
        <w:t>5</w:t>
      </w:r>
      <w:r>
        <w:rPr>
          <w:rFonts w:hint="eastAsia" w:ascii="宋体" w:hAnsi="宋体" w:cs="Courier New"/>
          <w:color w:val="auto"/>
          <w:szCs w:val="21"/>
        </w:rPr>
        <w:t>.2成交供应商</w:t>
      </w:r>
      <w:r>
        <w:rPr>
          <w:rFonts w:hint="eastAsia" w:ascii="宋体" w:hAnsi="宋体" w:cs="Courier New"/>
          <w:color w:val="auto"/>
          <w:spacing w:val="4"/>
          <w:szCs w:val="21"/>
        </w:rPr>
        <w:t>没有按照本章第3</w:t>
      </w:r>
      <w:r>
        <w:rPr>
          <w:rFonts w:hint="eastAsia" w:ascii="宋体" w:hAnsi="宋体" w:cs="Courier New"/>
          <w:color w:val="auto"/>
          <w:spacing w:val="4"/>
          <w:szCs w:val="21"/>
          <w:lang w:val="en-US" w:eastAsia="zh-CN"/>
        </w:rPr>
        <w:t>5</w:t>
      </w:r>
      <w:r>
        <w:rPr>
          <w:rFonts w:hint="eastAsia" w:ascii="宋体" w:hAnsi="宋体" w:cs="Courier New"/>
          <w:color w:val="auto"/>
          <w:spacing w:val="4"/>
          <w:szCs w:val="21"/>
        </w:rPr>
        <w:t>.1</w:t>
      </w:r>
      <w:r>
        <w:rPr>
          <w:rFonts w:hint="eastAsia" w:ascii="宋体" w:hAnsi="宋体" w:cs="宋体"/>
          <w:color w:val="auto"/>
          <w:kern w:val="0"/>
          <w:szCs w:val="21"/>
          <w:lang w:val="zh-CN"/>
        </w:rPr>
        <w:t>款</w:t>
      </w:r>
      <w:r>
        <w:rPr>
          <w:rFonts w:hint="eastAsia" w:ascii="宋体" w:hAnsi="宋体" w:cs="Courier New"/>
          <w:color w:val="auto"/>
          <w:spacing w:val="4"/>
          <w:szCs w:val="21"/>
        </w:rPr>
        <w:t>规定</w:t>
      </w:r>
      <w:r>
        <w:rPr>
          <w:rFonts w:hint="eastAsia" w:ascii="宋体" w:hAnsi="宋体" w:cs="Courier New"/>
          <w:color w:val="auto"/>
          <w:szCs w:val="21"/>
        </w:rPr>
        <w:t>提交履约担保的</w:t>
      </w:r>
      <w:r>
        <w:rPr>
          <w:rFonts w:hint="eastAsia" w:ascii="宋体" w:hAnsi="宋体" w:cs="Courier New"/>
          <w:color w:val="auto"/>
          <w:spacing w:val="4"/>
          <w:szCs w:val="21"/>
        </w:rPr>
        <w:t>，视为放弃</w:t>
      </w:r>
      <w:r>
        <w:rPr>
          <w:rFonts w:hint="eastAsia" w:ascii="宋体" w:hAnsi="宋体" w:cs="Courier New"/>
          <w:color w:val="auto"/>
          <w:szCs w:val="21"/>
        </w:rPr>
        <w:t>成交资格</w:t>
      </w:r>
      <w:r>
        <w:rPr>
          <w:rFonts w:hint="eastAsia" w:ascii="宋体" w:hAnsi="宋体" w:cs="Courier New"/>
          <w:color w:val="auto"/>
          <w:spacing w:val="4"/>
          <w:szCs w:val="21"/>
        </w:rPr>
        <w:t>，</w:t>
      </w:r>
      <w:r>
        <w:rPr>
          <w:rFonts w:hint="eastAsia" w:ascii="宋体" w:hAnsi="宋体" w:cs="Courier New"/>
          <w:color w:val="auto"/>
          <w:spacing w:val="2"/>
          <w:szCs w:val="21"/>
        </w:rPr>
        <w:t>其</w:t>
      </w:r>
      <w:r>
        <w:rPr>
          <w:rFonts w:hint="eastAsia" w:ascii="宋体" w:hAnsi="宋体" w:cs="Courier New"/>
          <w:color w:val="auto"/>
          <w:spacing w:val="2"/>
          <w:szCs w:val="21"/>
          <w:lang w:eastAsia="zh-CN"/>
        </w:rPr>
        <w:t>磋商</w:t>
      </w:r>
      <w:r>
        <w:rPr>
          <w:rFonts w:hint="eastAsia" w:ascii="宋体" w:hAnsi="宋体" w:cs="Courier New"/>
          <w:color w:val="auto"/>
          <w:spacing w:val="2"/>
          <w:szCs w:val="21"/>
        </w:rPr>
        <w:t>保证金不予退还。</w:t>
      </w:r>
    </w:p>
    <w:p w14:paraId="7BF2383E">
      <w:pPr>
        <w:spacing w:line="360" w:lineRule="auto"/>
        <w:outlineLvl w:val="9"/>
        <w:rPr>
          <w:rFonts w:hint="eastAsia" w:ascii="宋体" w:hAnsi="宋体" w:eastAsia="宋体" w:cs="宋体"/>
          <w:b/>
          <w:bCs/>
          <w:color w:val="auto"/>
          <w:sz w:val="22"/>
          <w:szCs w:val="22"/>
          <w:lang w:val="en-US" w:eastAsia="zh-CN"/>
        </w:rPr>
      </w:pPr>
      <w:bookmarkStart w:id="122" w:name="_Toc107997878"/>
      <w:bookmarkStart w:id="123" w:name="_Toc107998005"/>
      <w:r>
        <w:rPr>
          <w:rFonts w:hint="eastAsia" w:ascii="宋体" w:hAnsi="宋体" w:eastAsia="宋体" w:cs="宋体"/>
          <w:b/>
          <w:bCs/>
          <w:color w:val="auto"/>
          <w:sz w:val="22"/>
          <w:szCs w:val="22"/>
          <w:lang w:val="en-US" w:eastAsia="zh-CN"/>
        </w:rPr>
        <w:t>36.签订合同</w:t>
      </w:r>
      <w:bookmarkEnd w:id="122"/>
      <w:bookmarkEnd w:id="123"/>
    </w:p>
    <w:p w14:paraId="5D844198">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3</w:t>
      </w:r>
      <w:r>
        <w:rPr>
          <w:rFonts w:hint="eastAsia" w:ascii="宋体" w:hAnsi="宋体" w:cs="Courier New"/>
          <w:color w:val="auto"/>
          <w:szCs w:val="21"/>
          <w:lang w:val="en-US" w:eastAsia="zh-CN"/>
        </w:rPr>
        <w:t>6</w:t>
      </w:r>
      <w:r>
        <w:rPr>
          <w:rFonts w:hint="eastAsia" w:ascii="宋体" w:hAnsi="宋体" w:cs="Courier New"/>
          <w:color w:val="auto"/>
          <w:szCs w:val="21"/>
        </w:rPr>
        <w:t>.1</w:t>
      </w:r>
      <w:r>
        <w:rPr>
          <w:rFonts w:hint="eastAsia" w:ascii="宋体" w:hAnsi="宋体" w:cs="Courier New"/>
          <w:color w:val="auto"/>
          <w:szCs w:val="21"/>
          <w:lang w:eastAsia="zh-CN"/>
        </w:rPr>
        <w:t>磋商</w:t>
      </w:r>
      <w:r>
        <w:rPr>
          <w:rFonts w:hint="eastAsia" w:ascii="宋体" w:hAnsi="宋体" w:cs="Courier New"/>
          <w:color w:val="auto"/>
          <w:szCs w:val="21"/>
        </w:rPr>
        <w:t>文件、成交供应商的响应文件及其补充的响应文件等均为签订政府采购合同的依据。</w:t>
      </w:r>
    </w:p>
    <w:p w14:paraId="7A971F25">
      <w:pPr>
        <w:adjustRightInd w:val="0"/>
        <w:snapToGrid w:val="0"/>
        <w:spacing w:line="360" w:lineRule="auto"/>
        <w:ind w:firstLine="420" w:firstLineChars="200"/>
        <w:outlineLvl w:val="9"/>
        <w:rPr>
          <w:rFonts w:ascii="宋体" w:hAnsi="宋体" w:cs="Courier New"/>
          <w:color w:val="auto"/>
          <w:szCs w:val="21"/>
        </w:rPr>
      </w:pPr>
      <w:r>
        <w:rPr>
          <w:rFonts w:hint="eastAsia" w:ascii="宋体" w:hAnsi="宋体" w:cs="Courier New"/>
          <w:color w:val="auto"/>
          <w:szCs w:val="21"/>
        </w:rPr>
        <w:t>3</w:t>
      </w:r>
      <w:r>
        <w:rPr>
          <w:rFonts w:hint="eastAsia" w:ascii="宋体" w:hAnsi="宋体" w:cs="Courier New"/>
          <w:color w:val="auto"/>
          <w:szCs w:val="21"/>
          <w:lang w:val="en-US" w:eastAsia="zh-CN"/>
        </w:rPr>
        <w:t>6</w:t>
      </w:r>
      <w:r>
        <w:rPr>
          <w:rFonts w:hint="eastAsia" w:ascii="宋体" w:hAnsi="宋体" w:cs="Courier New"/>
          <w:color w:val="auto"/>
          <w:szCs w:val="21"/>
        </w:rPr>
        <w:t>.2成交供应商应当在成交通知书发出之日起30日内与采购人签订政府采购合同。</w:t>
      </w:r>
    </w:p>
    <w:p w14:paraId="17845522">
      <w:pPr>
        <w:adjustRightInd w:val="0"/>
        <w:snapToGrid w:val="0"/>
        <w:spacing w:line="360" w:lineRule="auto"/>
        <w:ind w:firstLine="420" w:firstLineChars="200"/>
        <w:outlineLvl w:val="9"/>
        <w:rPr>
          <w:rFonts w:hint="eastAsia" w:ascii="宋体" w:hAnsi="宋体" w:cs="Courier New"/>
          <w:color w:val="auto"/>
          <w:szCs w:val="21"/>
        </w:rPr>
      </w:pPr>
      <w:r>
        <w:rPr>
          <w:rFonts w:hint="eastAsia" w:ascii="宋体" w:hAnsi="宋体" w:cs="Courier New"/>
          <w:color w:val="auto"/>
          <w:szCs w:val="21"/>
        </w:rPr>
        <w:t>3</w:t>
      </w:r>
      <w:r>
        <w:rPr>
          <w:rFonts w:hint="eastAsia" w:ascii="宋体" w:hAnsi="宋体" w:cs="Courier New"/>
          <w:color w:val="auto"/>
          <w:szCs w:val="21"/>
          <w:lang w:val="en-US" w:eastAsia="zh-CN"/>
        </w:rPr>
        <w:t>6</w:t>
      </w:r>
      <w:r>
        <w:rPr>
          <w:rFonts w:hint="eastAsia" w:ascii="宋体" w:hAnsi="宋体" w:cs="Courier New"/>
          <w:color w:val="auto"/>
          <w:szCs w:val="21"/>
        </w:rPr>
        <w:t>.3成交供应商应当按照合同约定履行义务。成交供应商不得向他人转让成交项目，也不得将成交项目分包后分别向他人转让。</w:t>
      </w:r>
    </w:p>
    <w:p w14:paraId="52ED1694">
      <w:pPr>
        <w:pStyle w:val="13"/>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36.4成交供应商有下列情形之一的，责令限期改正，情节严重的，列入不良行为记录名单，在1至3年内禁止参加政府采购活动，并予以通报：</w:t>
      </w:r>
    </w:p>
    <w:p w14:paraId="7E880CF4">
      <w:pPr>
        <w:pStyle w:val="13"/>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（一）成交后无正当理由不与采购人签订合同的；</w:t>
      </w:r>
    </w:p>
    <w:p w14:paraId="4916A71E">
      <w:pPr>
        <w:pStyle w:val="13"/>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（二）未按照采购文件确定的事项签订政府采购合同，或者与采购人另行订立背离合同实质性内容的协议的；</w:t>
      </w:r>
    </w:p>
    <w:p w14:paraId="620F5555">
      <w:pPr>
        <w:pStyle w:val="13"/>
        <w:adjustRightInd w:val="0"/>
        <w:snapToGrid w:val="0"/>
        <w:spacing w:before="156" w:beforeLines="5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（三）拒绝履行合同义务的；</w:t>
      </w:r>
    </w:p>
    <w:p w14:paraId="73E7B8B5">
      <w:pPr>
        <w:pStyle w:val="13"/>
        <w:adjustRightInd w:val="0"/>
        <w:snapToGrid w:val="0"/>
        <w:spacing w:before="156" w:beforeLines="50"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（四）</w:t>
      </w:r>
      <w:r>
        <w:rPr>
          <w:rFonts w:hint="eastAsia" w:ascii="宋体" w:hAnsi="宋体" w:eastAsia="宋体" w:cs="宋体"/>
          <w:color w:val="auto"/>
          <w:kern w:val="0"/>
          <w:sz w:val="21"/>
          <w:szCs w:val="21"/>
        </w:rPr>
        <w:t>违反法律、规章、规范性文件规定的。</w:t>
      </w:r>
    </w:p>
    <w:p w14:paraId="7B3B2767">
      <w:pPr>
        <w:pStyle w:val="21"/>
        <w:spacing w:line="360" w:lineRule="auto"/>
        <w:outlineLvl w:val="9"/>
      </w:pPr>
    </w:p>
    <w:p w14:paraId="70E92665">
      <w:pPr>
        <w:adjustRightInd w:val="0"/>
        <w:snapToGrid w:val="0"/>
        <w:spacing w:line="360" w:lineRule="auto"/>
        <w:jc w:val="center"/>
        <w:outlineLvl w:val="9"/>
        <w:rPr>
          <w:rFonts w:hint="eastAsia" w:ascii="宋体" w:hAnsi="宋体" w:eastAsia="宋体" w:cs="宋体"/>
          <w:b/>
          <w:bCs/>
          <w:color w:val="auto"/>
          <w:sz w:val="24"/>
          <w:szCs w:val="24"/>
        </w:rPr>
      </w:pPr>
      <w:bookmarkStart w:id="124" w:name="_Toc25963"/>
      <w:bookmarkStart w:id="125" w:name="_Toc22201076"/>
      <w:bookmarkStart w:id="126" w:name="_Toc107998006"/>
      <w:r>
        <w:rPr>
          <w:rFonts w:hint="eastAsia" w:ascii="宋体" w:hAnsi="宋体" w:eastAsia="宋体" w:cs="宋体"/>
          <w:b/>
          <w:bCs/>
          <w:color w:val="auto"/>
          <w:sz w:val="24"/>
          <w:szCs w:val="24"/>
        </w:rPr>
        <w:t>七、政府采购政策</w:t>
      </w:r>
      <w:bookmarkEnd w:id="124"/>
      <w:bookmarkEnd w:id="125"/>
      <w:bookmarkEnd w:id="126"/>
    </w:p>
    <w:p w14:paraId="44D4C5FF">
      <w:pPr>
        <w:spacing w:line="360" w:lineRule="auto"/>
        <w:outlineLvl w:val="9"/>
        <w:rPr>
          <w:rFonts w:hint="eastAsia" w:ascii="宋体" w:hAnsi="宋体" w:eastAsia="宋体" w:cs="宋体"/>
          <w:b/>
          <w:bCs/>
          <w:color w:val="auto"/>
          <w:sz w:val="22"/>
          <w:szCs w:val="22"/>
          <w:lang w:val="en-US" w:eastAsia="zh-CN"/>
        </w:rPr>
      </w:pPr>
      <w:bookmarkStart w:id="127" w:name="_Toc62225465"/>
      <w:bookmarkStart w:id="128" w:name="_Toc107998007"/>
      <w:bookmarkStart w:id="129" w:name="_Toc107997880"/>
      <w:r>
        <w:rPr>
          <w:rFonts w:hint="eastAsia" w:ascii="宋体" w:hAnsi="宋体" w:eastAsia="宋体" w:cs="宋体"/>
          <w:b/>
          <w:bCs/>
          <w:color w:val="auto"/>
          <w:sz w:val="22"/>
          <w:szCs w:val="22"/>
          <w:lang w:val="en-US" w:eastAsia="zh-CN"/>
        </w:rPr>
        <w:t>37.</w:t>
      </w:r>
      <w:bookmarkEnd w:id="127"/>
      <w:r>
        <w:rPr>
          <w:rFonts w:hint="eastAsia" w:ascii="宋体" w:hAnsi="宋体" w:eastAsia="宋体" w:cs="宋体"/>
          <w:b/>
          <w:bCs/>
          <w:color w:val="auto"/>
          <w:sz w:val="22"/>
          <w:szCs w:val="22"/>
          <w:lang w:val="en-US" w:eastAsia="zh-CN"/>
        </w:rPr>
        <w:t>预留采购份额</w:t>
      </w:r>
      <w:bookmarkEnd w:id="128"/>
      <w:bookmarkEnd w:id="129"/>
    </w:p>
    <w:p w14:paraId="173F6558">
      <w:pPr>
        <w:adjustRightInd w:val="0"/>
        <w:snapToGrid w:val="0"/>
        <w:spacing w:line="360" w:lineRule="auto"/>
        <w:ind w:firstLine="420" w:firstLineChars="200"/>
        <w:jc w:val="left"/>
        <w:outlineLvl w:val="9"/>
        <w:rPr>
          <w:rFonts w:ascii="宋体" w:hAnsi="宋体" w:eastAsia="宋体"/>
          <w:color w:val="auto"/>
          <w:szCs w:val="21"/>
        </w:rPr>
      </w:pPr>
      <w:r>
        <w:rPr>
          <w:rFonts w:hint="eastAsia" w:ascii="宋体" w:hAnsi="宋体" w:eastAsia="宋体"/>
          <w:color w:val="auto"/>
          <w:szCs w:val="21"/>
        </w:rPr>
        <w:t>3</w:t>
      </w:r>
      <w:r>
        <w:rPr>
          <w:rFonts w:hint="eastAsia" w:ascii="宋体" w:hAnsi="宋体"/>
          <w:color w:val="auto"/>
          <w:szCs w:val="21"/>
          <w:lang w:val="en-US" w:eastAsia="zh-CN"/>
        </w:rPr>
        <w:t>7</w:t>
      </w:r>
      <w:r>
        <w:rPr>
          <w:rFonts w:hint="eastAsia" w:ascii="宋体" w:hAnsi="宋体" w:eastAsia="宋体"/>
          <w:color w:val="auto"/>
          <w:szCs w:val="21"/>
        </w:rPr>
        <w:t>.1执行中小企业预留采购份额政策的规定：</w:t>
      </w:r>
    </w:p>
    <w:p w14:paraId="477AA683">
      <w:pPr>
        <w:adjustRightInd w:val="0"/>
        <w:snapToGrid w:val="0"/>
        <w:spacing w:line="360" w:lineRule="auto"/>
        <w:ind w:firstLine="420" w:firstLineChars="200"/>
        <w:jc w:val="left"/>
        <w:outlineLvl w:val="9"/>
        <w:rPr>
          <w:rFonts w:ascii="宋体" w:hAnsi="宋体" w:eastAsia="宋体"/>
          <w:color w:val="auto"/>
          <w:szCs w:val="21"/>
        </w:rPr>
      </w:pPr>
      <w:r>
        <w:rPr>
          <w:rFonts w:hint="eastAsia" w:ascii="宋体" w:hAnsi="宋体" w:eastAsia="宋体"/>
          <w:color w:val="auto"/>
          <w:szCs w:val="21"/>
        </w:rPr>
        <w:t>（1）预留份额的采购项目或者采购包，应明确该项目或相关采购包专门面向中小企业采购，并作为供应商资格条件。</w:t>
      </w:r>
    </w:p>
    <w:p w14:paraId="595B6A00">
      <w:pPr>
        <w:adjustRightInd w:val="0"/>
        <w:snapToGrid w:val="0"/>
        <w:spacing w:line="360" w:lineRule="auto"/>
        <w:ind w:firstLine="420" w:firstLineChars="200"/>
        <w:jc w:val="left"/>
        <w:outlineLvl w:val="9"/>
        <w:rPr>
          <w:rFonts w:ascii="宋体" w:hAnsi="宋体" w:eastAsia="宋体"/>
          <w:color w:val="auto"/>
          <w:szCs w:val="21"/>
        </w:rPr>
      </w:pPr>
      <w:r>
        <w:rPr>
          <w:rFonts w:hint="eastAsia" w:ascii="宋体" w:hAnsi="宋体" w:eastAsia="宋体"/>
          <w:color w:val="auto"/>
          <w:szCs w:val="21"/>
        </w:rPr>
        <w:t>（2）要求以联合体形式参加或者合同分包的，应明确联合协议或者分包承诺中中小企业合同金额应当达到的比例，并作为供应商资格条件。</w:t>
      </w:r>
    </w:p>
    <w:p w14:paraId="254D8CC9">
      <w:pPr>
        <w:adjustRightInd w:val="0"/>
        <w:snapToGrid w:val="0"/>
        <w:spacing w:line="360" w:lineRule="auto"/>
        <w:ind w:firstLine="420" w:firstLineChars="200"/>
        <w:jc w:val="left"/>
        <w:outlineLvl w:val="9"/>
        <w:rPr>
          <w:rFonts w:ascii="宋体" w:hAnsi="宋体" w:eastAsia="宋体"/>
          <w:color w:val="auto"/>
          <w:szCs w:val="21"/>
        </w:rPr>
      </w:pPr>
      <w:r>
        <w:rPr>
          <w:rFonts w:hint="eastAsia" w:ascii="宋体" w:hAnsi="宋体" w:eastAsia="宋体"/>
          <w:color w:val="auto"/>
          <w:szCs w:val="21"/>
        </w:rPr>
        <w:t>（3）组成联合体或者接受分包合同的中小企业与联合体内其他企业(成员)、分包企业之间不得存在直接控股、管理关系。</w:t>
      </w:r>
    </w:p>
    <w:p w14:paraId="6FE6723F">
      <w:pPr>
        <w:spacing w:line="360" w:lineRule="auto"/>
        <w:outlineLvl w:val="9"/>
        <w:rPr>
          <w:rFonts w:hint="eastAsia" w:ascii="宋体" w:hAnsi="宋体" w:eastAsia="宋体" w:cs="宋体"/>
          <w:b/>
          <w:bCs/>
          <w:color w:val="auto"/>
          <w:sz w:val="22"/>
          <w:szCs w:val="22"/>
          <w:lang w:val="en-US" w:eastAsia="zh-CN"/>
        </w:rPr>
      </w:pPr>
      <w:bookmarkStart w:id="130" w:name="_Toc107997881"/>
      <w:bookmarkStart w:id="131" w:name="_Toc62225466"/>
      <w:bookmarkStart w:id="132" w:name="_Toc107998008"/>
      <w:r>
        <w:rPr>
          <w:rFonts w:hint="eastAsia" w:ascii="宋体" w:hAnsi="宋体" w:eastAsia="宋体" w:cs="宋体"/>
          <w:b/>
          <w:bCs/>
          <w:color w:val="auto"/>
          <w:sz w:val="22"/>
          <w:szCs w:val="22"/>
          <w:lang w:val="en-US" w:eastAsia="zh-CN"/>
        </w:rPr>
        <w:t>38.强制采购</w:t>
      </w:r>
      <w:bookmarkEnd w:id="130"/>
      <w:bookmarkEnd w:id="131"/>
      <w:bookmarkEnd w:id="132"/>
    </w:p>
    <w:p w14:paraId="7F32A4BE">
      <w:pPr>
        <w:adjustRightInd w:val="0"/>
        <w:snapToGrid w:val="0"/>
        <w:spacing w:line="360" w:lineRule="auto"/>
        <w:ind w:firstLine="420" w:firstLineChars="200"/>
        <w:jc w:val="left"/>
        <w:outlineLvl w:val="9"/>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cs="宋体"/>
          <w:color w:val="auto"/>
          <w:kern w:val="0"/>
          <w:lang w:val="en-US" w:eastAsia="zh-CN"/>
        </w:rPr>
        <w:t>8</w:t>
      </w:r>
      <w:r>
        <w:rPr>
          <w:rFonts w:hint="eastAsia" w:ascii="宋体" w:hAnsi="宋体" w:eastAsia="宋体" w:cs="宋体"/>
          <w:color w:val="auto"/>
          <w:kern w:val="0"/>
        </w:rPr>
        <w:t>.1纳入财政部会同国务院有关部门发布的节能产品政府采购品目清单（品目清单中标注</w:t>
      </w:r>
      <w:r>
        <w:rPr>
          <w:rFonts w:hint="eastAsia" w:ascii="宋体" w:hAnsi="宋体" w:eastAsia="宋体" w:cs="宋体"/>
          <w:color w:val="auto"/>
          <w:kern w:val="0"/>
        </w:rPr>
        <w:sym w:font="Wingdings" w:char="F0AB"/>
      </w:r>
      <w:r>
        <w:rPr>
          <w:rFonts w:hint="eastAsia" w:ascii="宋体" w:hAnsi="宋体" w:eastAsia="宋体" w:cs="宋体"/>
          <w:color w:val="auto"/>
          <w:kern w:val="0"/>
        </w:rPr>
        <w:t>符号产品），实施政府强制采购的，供应商提供的产品不符合强制采购规定，其</w:t>
      </w:r>
      <w:r>
        <w:rPr>
          <w:rFonts w:hint="eastAsia" w:ascii="宋体" w:hAnsi="宋体" w:eastAsia="宋体" w:cs="宋体"/>
          <w:b/>
          <w:color w:val="auto"/>
          <w:kern w:val="0"/>
        </w:rPr>
        <w:t>响应</w:t>
      </w:r>
      <w:r>
        <w:rPr>
          <w:rFonts w:hint="eastAsia" w:ascii="宋体" w:hAnsi="宋体" w:eastAsia="宋体" w:cs="宋体"/>
          <w:b/>
          <w:color w:val="auto"/>
          <w:kern w:val="0"/>
          <w:szCs w:val="21"/>
        </w:rPr>
        <w:t>无效</w:t>
      </w:r>
      <w:r>
        <w:rPr>
          <w:rFonts w:hint="eastAsia" w:ascii="宋体" w:hAnsi="宋体" w:eastAsia="宋体" w:cs="宋体"/>
          <w:color w:val="auto"/>
          <w:kern w:val="0"/>
        </w:rPr>
        <w:t>。</w:t>
      </w:r>
    </w:p>
    <w:p w14:paraId="2FD829C1">
      <w:pPr>
        <w:spacing w:line="360" w:lineRule="auto"/>
        <w:outlineLvl w:val="9"/>
        <w:rPr>
          <w:rFonts w:hint="eastAsia" w:ascii="宋体" w:hAnsi="宋体" w:eastAsia="宋体" w:cs="宋体"/>
          <w:b/>
          <w:bCs/>
          <w:color w:val="auto"/>
          <w:sz w:val="22"/>
          <w:szCs w:val="22"/>
          <w:lang w:val="en-US" w:eastAsia="zh-CN"/>
        </w:rPr>
      </w:pPr>
      <w:bookmarkStart w:id="133" w:name="_Toc107997882"/>
      <w:bookmarkStart w:id="134" w:name="_Toc107998009"/>
      <w:bookmarkStart w:id="135" w:name="_Toc62225467"/>
      <w:r>
        <w:rPr>
          <w:rFonts w:hint="eastAsia" w:ascii="宋体" w:hAnsi="宋体" w:eastAsia="宋体" w:cs="宋体"/>
          <w:b/>
          <w:bCs/>
          <w:color w:val="auto"/>
          <w:sz w:val="22"/>
          <w:szCs w:val="22"/>
          <w:lang w:val="en-US" w:eastAsia="zh-CN"/>
        </w:rPr>
        <w:t>39.优先采购</w:t>
      </w:r>
      <w:bookmarkEnd w:id="133"/>
      <w:bookmarkEnd w:id="134"/>
      <w:bookmarkEnd w:id="135"/>
    </w:p>
    <w:p w14:paraId="5F5ACF2C">
      <w:pPr>
        <w:adjustRightInd w:val="0"/>
        <w:snapToGrid w:val="0"/>
        <w:spacing w:line="360" w:lineRule="auto"/>
        <w:ind w:firstLine="420" w:firstLineChars="200"/>
        <w:jc w:val="left"/>
        <w:outlineLvl w:val="9"/>
        <w:rPr>
          <w:rFonts w:hint="eastAsia" w:ascii="宋体" w:hAnsi="宋体" w:eastAsia="宋体"/>
          <w:color w:val="auto"/>
          <w:lang w:eastAsia="zh-CN"/>
        </w:rPr>
      </w:pPr>
      <w:r>
        <w:rPr>
          <w:rFonts w:hint="eastAsia" w:ascii="宋体" w:hAnsi="宋体"/>
          <w:color w:val="auto"/>
          <w:lang w:val="en-US" w:eastAsia="zh-CN"/>
        </w:rPr>
        <w:t>39</w:t>
      </w:r>
      <w:r>
        <w:rPr>
          <w:rFonts w:hint="eastAsia" w:ascii="宋体" w:hAnsi="宋体" w:eastAsia="宋体"/>
          <w:color w:val="auto"/>
        </w:rPr>
        <w:t>.1</w:t>
      </w:r>
      <w:r>
        <w:rPr>
          <w:rFonts w:hint="eastAsia" w:ascii="宋体" w:hAnsi="宋体"/>
          <w:color w:val="auto"/>
        </w:rPr>
        <w:t>对</w:t>
      </w:r>
      <w:r>
        <w:rPr>
          <w:rFonts w:hint="eastAsia" w:ascii="宋体" w:hAnsi="宋体"/>
          <w:color w:val="auto"/>
          <w:szCs w:val="21"/>
        </w:rPr>
        <w:t>纳入财政部会同国务院有关部门发布的节能产品(未</w:t>
      </w:r>
      <w:r>
        <w:rPr>
          <w:rFonts w:hint="eastAsia" w:ascii="宋体" w:hAnsi="宋体" w:eastAsia="宋体" w:cs="宋体"/>
          <w:color w:val="auto"/>
          <w:kern w:val="0"/>
        </w:rPr>
        <w:t>标注</w:t>
      </w:r>
      <w:r>
        <w:rPr>
          <w:rFonts w:hint="eastAsia" w:ascii="宋体" w:hAnsi="宋体" w:eastAsia="宋体" w:cs="宋体"/>
          <w:color w:val="auto"/>
          <w:kern w:val="0"/>
        </w:rPr>
        <w:sym w:font="Wingdings" w:char="F0AB"/>
      </w:r>
      <w:r>
        <w:rPr>
          <w:rFonts w:hint="eastAsia" w:ascii="宋体" w:hAnsi="宋体" w:eastAsia="宋体" w:cs="宋体"/>
          <w:color w:val="auto"/>
          <w:kern w:val="0"/>
        </w:rPr>
        <w:t>符号产品</w:t>
      </w:r>
      <w:r>
        <w:rPr>
          <w:rFonts w:hint="eastAsia" w:ascii="宋体" w:hAnsi="宋体"/>
          <w:color w:val="auto"/>
          <w:szCs w:val="21"/>
        </w:rPr>
        <w:t>)、环境标志产品政府采购品目清单，实施政府优先采购的，评审时</w:t>
      </w:r>
      <w:r>
        <w:rPr>
          <w:rFonts w:hint="eastAsia" w:ascii="宋体" w:hAnsi="宋体"/>
          <w:color w:val="auto"/>
          <w:szCs w:val="21"/>
          <w:lang w:val="en-US" w:eastAsia="zh-CN"/>
        </w:rPr>
        <w:t>对该部分产品</w:t>
      </w:r>
      <w:r>
        <w:rPr>
          <w:rFonts w:hint="eastAsia" w:ascii="宋体" w:hAnsi="宋体"/>
          <w:color w:val="auto"/>
          <w:szCs w:val="21"/>
        </w:rPr>
        <w:t>按</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ascii="宋体" w:hAnsi="宋体"/>
          <w:color w:val="auto"/>
          <w:szCs w:val="21"/>
        </w:rPr>
        <w:t>规定给予价格折扣</w:t>
      </w:r>
      <w:r>
        <w:rPr>
          <w:rFonts w:hint="eastAsia" w:ascii="宋体" w:hAnsi="宋体"/>
          <w:color w:val="auto"/>
          <w:szCs w:val="21"/>
          <w:lang w:eastAsia="zh-CN"/>
        </w:rPr>
        <w:t>。</w:t>
      </w:r>
    </w:p>
    <w:p w14:paraId="6458DFA9">
      <w:pPr>
        <w:spacing w:line="360" w:lineRule="auto"/>
        <w:outlineLvl w:val="9"/>
        <w:rPr>
          <w:rFonts w:hint="eastAsia" w:ascii="宋体" w:hAnsi="宋体" w:eastAsia="宋体" w:cs="宋体"/>
          <w:b/>
          <w:bCs/>
          <w:color w:val="auto"/>
          <w:sz w:val="22"/>
          <w:szCs w:val="22"/>
          <w:lang w:val="en-US" w:eastAsia="zh-CN"/>
        </w:rPr>
      </w:pPr>
      <w:bookmarkStart w:id="136" w:name="_Toc107997883"/>
      <w:bookmarkStart w:id="137" w:name="_Toc62225468"/>
      <w:bookmarkStart w:id="138" w:name="_Toc107998010"/>
      <w:r>
        <w:rPr>
          <w:rFonts w:hint="eastAsia" w:ascii="宋体" w:hAnsi="宋体" w:eastAsia="宋体" w:cs="宋体"/>
          <w:b/>
          <w:bCs/>
          <w:color w:val="auto"/>
          <w:sz w:val="22"/>
          <w:szCs w:val="22"/>
          <w:lang w:val="en-US" w:eastAsia="zh-CN"/>
        </w:rPr>
        <w:t>40.价格评审优惠</w:t>
      </w:r>
      <w:bookmarkEnd w:id="136"/>
      <w:bookmarkEnd w:id="137"/>
      <w:bookmarkEnd w:id="138"/>
    </w:p>
    <w:p w14:paraId="38B1FAB7">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4</w:t>
      </w:r>
      <w:r>
        <w:rPr>
          <w:rFonts w:hint="eastAsia" w:ascii="宋体" w:hAnsi="宋体"/>
          <w:color w:val="auto"/>
          <w:lang w:val="en-US" w:eastAsia="zh-CN"/>
        </w:rPr>
        <w:t>0</w:t>
      </w:r>
      <w:r>
        <w:rPr>
          <w:rFonts w:ascii="宋体" w:hAnsi="宋体" w:eastAsia="宋体"/>
          <w:color w:val="auto"/>
        </w:rPr>
        <w:t>.1</w:t>
      </w:r>
      <w:r>
        <w:rPr>
          <w:rFonts w:hint="eastAsia" w:ascii="宋体" w:hAnsi="宋体" w:eastAsia="宋体"/>
          <w:color w:val="auto"/>
        </w:rPr>
        <w:t>在政府采购活动中，供应商提供的货物、工程或者服务符合下列情形的：</w:t>
      </w:r>
      <w:r>
        <w:rPr>
          <w:rFonts w:ascii="宋体" w:hAnsi="宋体" w:eastAsia="宋体"/>
          <w:color w:val="auto"/>
        </w:rPr>
        <w:t>（</w:t>
      </w:r>
      <w:r>
        <w:rPr>
          <w:rFonts w:hint="eastAsia" w:ascii="宋体" w:hAnsi="宋体" w:eastAsia="宋体"/>
          <w:color w:val="auto"/>
        </w:rPr>
        <w:t>1</w:t>
      </w:r>
      <w:r>
        <w:rPr>
          <w:rFonts w:ascii="宋体" w:hAnsi="宋体" w:eastAsia="宋体"/>
          <w:color w:val="auto"/>
        </w:rPr>
        <w:t>）</w:t>
      </w:r>
      <w:r>
        <w:rPr>
          <w:rFonts w:hint="eastAsia" w:ascii="宋体" w:hAnsi="宋体" w:eastAsia="宋体"/>
          <w:color w:val="auto"/>
        </w:rPr>
        <w:t>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w:t>
      </w:r>
      <w:r>
        <w:rPr>
          <w:rFonts w:hint="eastAsia" w:ascii="宋体" w:hAnsi="宋体" w:eastAsia="宋体"/>
          <w:color w:val="auto"/>
          <w:lang w:eastAsia="zh-CN"/>
        </w:rPr>
        <w:t>；</w:t>
      </w:r>
      <w:r>
        <w:rPr>
          <w:rFonts w:hint="eastAsia" w:ascii="宋体" w:hAnsi="宋体" w:eastAsia="宋体"/>
          <w:color w:val="auto"/>
        </w:rPr>
        <w:t>给予一定比例的价格折扣，用扣除后的价格参与评审；</w:t>
      </w:r>
    </w:p>
    <w:p w14:paraId="1193A42A">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4</w:t>
      </w:r>
      <w:r>
        <w:rPr>
          <w:rFonts w:hint="eastAsia" w:ascii="宋体" w:hAnsi="宋体"/>
          <w:color w:val="auto"/>
          <w:lang w:val="en-US" w:eastAsia="zh-CN"/>
        </w:rPr>
        <w:t>0</w:t>
      </w:r>
      <w:r>
        <w:rPr>
          <w:rFonts w:ascii="宋体" w:hAnsi="宋体" w:eastAsia="宋体"/>
          <w:color w:val="auto"/>
        </w:rPr>
        <w:t>.2价格折扣比例</w:t>
      </w:r>
    </w:p>
    <w:p w14:paraId="22D40F54">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（1）对于经主管预算单位统筹后未预留份额专门面向中小企业采购的采购项目，以及预留份额项目中的非预留部分采购包，符合小微企业生产的货物或者提供的服务、工程情形的，按照</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ascii="宋体" w:hAnsi="宋体" w:eastAsia="宋体"/>
          <w:color w:val="auto"/>
        </w:rPr>
        <w:t>规定的比例给予价格折扣，用扣除后的价格参与评审。</w:t>
      </w:r>
    </w:p>
    <w:p w14:paraId="312BF466">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（2）接受大中型企业与小微企业组成联合体或者允许大中型企业向一家或者多家小微企业分包的采购项目，对于联合协议或者分包承诺约定小微企业的合同份额占到合同总金额30%以上的，按照</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ascii="宋体" w:hAnsi="宋体" w:eastAsia="宋体"/>
          <w:color w:val="auto"/>
        </w:rPr>
        <w:t>规定的比例给予价格折扣，用扣除后的价格参与评审。以联合体形式参加政府采购活动，联合体各方均为中小企业的，联合体视同中小企业。其中，联合体各方均为小微企业的，联合体视同小微企业。</w:t>
      </w:r>
    </w:p>
    <w:p w14:paraId="6FFA7926">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4</w:t>
      </w:r>
      <w:r>
        <w:rPr>
          <w:rFonts w:hint="eastAsia" w:ascii="宋体" w:hAnsi="宋体"/>
          <w:color w:val="auto"/>
          <w:lang w:val="en-US" w:eastAsia="zh-CN"/>
        </w:rPr>
        <w:t>0</w:t>
      </w:r>
      <w:r>
        <w:rPr>
          <w:rFonts w:ascii="宋体" w:hAnsi="宋体" w:eastAsia="宋体"/>
          <w:color w:val="auto"/>
        </w:rPr>
        <w:t>.3</w:t>
      </w:r>
      <w:r>
        <w:rPr>
          <w:rFonts w:hint="eastAsia" w:ascii="宋体" w:hAnsi="宋体" w:eastAsia="宋体"/>
          <w:color w:val="auto"/>
        </w:rPr>
        <w:t>符合中小企业划分标准的个体工商户视同中小企业，享受评审中价格扣除等促进中小企业发展的政府采购政策。</w:t>
      </w:r>
    </w:p>
    <w:p w14:paraId="402EA433">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4</w:t>
      </w:r>
      <w:r>
        <w:rPr>
          <w:rFonts w:hint="eastAsia" w:ascii="宋体" w:hAnsi="宋体"/>
          <w:color w:val="auto"/>
          <w:lang w:val="en-US" w:eastAsia="zh-CN"/>
        </w:rPr>
        <w:t>0</w:t>
      </w:r>
      <w:r>
        <w:rPr>
          <w:rFonts w:ascii="宋体" w:hAnsi="宋体" w:eastAsia="宋体"/>
          <w:color w:val="auto"/>
        </w:rPr>
        <w:t>.4</w:t>
      </w:r>
      <w:r>
        <w:rPr>
          <w:rFonts w:hint="eastAsia" w:ascii="宋体" w:hAnsi="宋体" w:eastAsia="宋体"/>
          <w:color w:val="auto"/>
        </w:rPr>
        <w:t>监狱企业、残疾人福利性单位视同小型、微型企业，享受评审中价格扣除等促进中小企业发展的政府采购政策。</w:t>
      </w:r>
    </w:p>
    <w:p w14:paraId="214A85AF">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4</w:t>
      </w:r>
      <w:r>
        <w:rPr>
          <w:rFonts w:hint="eastAsia" w:ascii="宋体" w:hAnsi="宋体"/>
          <w:color w:val="auto"/>
          <w:lang w:val="en-US" w:eastAsia="zh-CN"/>
        </w:rPr>
        <w:t>0</w:t>
      </w:r>
      <w:r>
        <w:rPr>
          <w:rFonts w:ascii="宋体" w:hAnsi="宋体" w:eastAsia="宋体"/>
          <w:color w:val="auto"/>
        </w:rPr>
        <w:t>.5</w:t>
      </w:r>
      <w:r>
        <w:rPr>
          <w:rFonts w:hint="eastAsia" w:ascii="宋体" w:hAnsi="宋体" w:eastAsia="宋体"/>
          <w:color w:val="auto"/>
        </w:rPr>
        <w:t xml:space="preserve">与大企业的负责人为同一人，或者与大企业存在直接控股、管理关系的中小企业，不享受评审中价格扣除等促进中小企业发展的政府采购政策。 </w:t>
      </w:r>
    </w:p>
    <w:p w14:paraId="5DE59CA3">
      <w:pPr>
        <w:adjustRightInd w:val="0"/>
        <w:snapToGrid w:val="0"/>
        <w:spacing w:line="360" w:lineRule="auto"/>
        <w:ind w:firstLine="420" w:firstLineChars="200"/>
        <w:jc w:val="left"/>
        <w:outlineLvl w:val="9"/>
        <w:rPr>
          <w:rFonts w:ascii="宋体" w:hAnsi="宋体"/>
          <w:bCs/>
          <w:color w:val="auto"/>
          <w:szCs w:val="21"/>
        </w:rPr>
      </w:pPr>
      <w:r>
        <w:rPr>
          <w:rFonts w:hint="eastAsia" w:ascii="宋体" w:hAnsi="宋体" w:eastAsia="宋体"/>
          <w:color w:val="auto"/>
        </w:rPr>
        <w:t>4</w:t>
      </w:r>
      <w:r>
        <w:rPr>
          <w:rFonts w:hint="eastAsia" w:ascii="宋体" w:hAnsi="宋体"/>
          <w:color w:val="auto"/>
          <w:lang w:val="en-US" w:eastAsia="zh-CN"/>
        </w:rPr>
        <w:t>0</w:t>
      </w:r>
      <w:r>
        <w:rPr>
          <w:rFonts w:ascii="宋体" w:hAnsi="宋体" w:eastAsia="宋体"/>
          <w:color w:val="auto"/>
        </w:rPr>
        <w:t>.6</w:t>
      </w:r>
      <w:r>
        <w:rPr>
          <w:rFonts w:hint="eastAsia" w:ascii="宋体" w:hAnsi="宋体" w:eastAsia="宋体"/>
          <w:color w:val="auto"/>
        </w:rPr>
        <w:t>本章第1.2款规定采购项目或者采购包属于“预留采购份额”的，预留部分不再享受本款“价格评审优惠”的小微企业扶持政策。</w:t>
      </w:r>
    </w:p>
    <w:p w14:paraId="26EDB013">
      <w:pPr>
        <w:spacing w:line="360" w:lineRule="auto"/>
        <w:outlineLvl w:val="9"/>
        <w:rPr>
          <w:rFonts w:hint="eastAsia" w:ascii="宋体" w:hAnsi="宋体" w:eastAsia="宋体" w:cs="宋体"/>
          <w:b/>
          <w:bCs/>
          <w:color w:val="auto"/>
          <w:sz w:val="22"/>
          <w:szCs w:val="22"/>
          <w:lang w:val="en-US" w:eastAsia="zh-CN"/>
        </w:rPr>
      </w:pPr>
      <w:bookmarkStart w:id="139" w:name="_Toc107998011"/>
      <w:bookmarkStart w:id="140" w:name="_Toc107997884"/>
      <w:bookmarkStart w:id="141" w:name="_Toc62225469"/>
      <w:r>
        <w:rPr>
          <w:rFonts w:hint="eastAsia" w:ascii="宋体" w:hAnsi="宋体" w:eastAsia="宋体" w:cs="宋体"/>
          <w:b/>
          <w:bCs/>
          <w:color w:val="auto"/>
          <w:sz w:val="22"/>
          <w:szCs w:val="22"/>
          <w:lang w:val="en-US" w:eastAsia="zh-CN"/>
        </w:rPr>
        <w:t>41.政府采购政策其他规定</w:t>
      </w:r>
      <w:bookmarkEnd w:id="139"/>
      <w:bookmarkEnd w:id="140"/>
      <w:bookmarkEnd w:id="141"/>
    </w:p>
    <w:p w14:paraId="576A6E73">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szCs w:val="21"/>
        </w:rPr>
        <w:t>4</w:t>
      </w:r>
      <w:r>
        <w:rPr>
          <w:rFonts w:hint="eastAsia" w:ascii="宋体" w:hAnsi="宋体"/>
          <w:color w:val="auto"/>
          <w:szCs w:val="21"/>
          <w:lang w:val="en-US" w:eastAsia="zh-CN"/>
        </w:rPr>
        <w:t>1</w:t>
      </w:r>
      <w:r>
        <w:rPr>
          <w:rFonts w:hint="eastAsia" w:ascii="宋体" w:hAnsi="宋体"/>
          <w:color w:val="auto"/>
          <w:szCs w:val="21"/>
        </w:rPr>
        <w:t>.1中型企业、小型企业和微型企业类型按照《关于印发＜政府采购促进中小企业发展办法＞的通知》(财库[2020]46号)和《关于印发中小企业划型标准规定的通知》（工信部联企业〔2011〕300号）规定认定。</w:t>
      </w:r>
    </w:p>
    <w:p w14:paraId="322F1B23">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eastAsia="宋体"/>
          <w:color w:val="auto"/>
        </w:rPr>
        <w:t>4</w:t>
      </w:r>
      <w:r>
        <w:rPr>
          <w:rFonts w:hint="eastAsia" w:ascii="宋体" w:hAnsi="宋体"/>
          <w:color w:val="auto"/>
          <w:lang w:val="en-US" w:eastAsia="zh-CN"/>
        </w:rPr>
        <w:t>1</w:t>
      </w:r>
      <w:r>
        <w:rPr>
          <w:rFonts w:hint="eastAsia" w:ascii="宋体" w:hAnsi="宋体" w:eastAsia="宋体"/>
          <w:color w:val="auto"/>
        </w:rPr>
        <w:t>.2</w:t>
      </w:r>
      <w:r>
        <w:rPr>
          <w:rFonts w:hint="eastAsia" w:ascii="宋体" w:hAnsi="宋体"/>
          <w:color w:val="auto"/>
        </w:rPr>
        <w:t>监狱企业、残</w:t>
      </w:r>
      <w:r>
        <w:rPr>
          <w:rFonts w:hint="eastAsia" w:ascii="宋体" w:hAnsi="宋体"/>
          <w:color w:val="auto"/>
          <w:szCs w:val="21"/>
        </w:rPr>
        <w:t>疾人福利性单位以及个体工商户视同小型、微型企业，享受预留采购份额、价格扣除等促进中小企业发展的政府采购政策。监狱企业、残疾人福利性单位以及个体工商户属于小型、微型企业的，不重复享受扶持政策。</w:t>
      </w:r>
    </w:p>
    <w:p w14:paraId="5D94A17E">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4</w:t>
      </w:r>
      <w:r>
        <w:rPr>
          <w:rFonts w:hint="eastAsia" w:ascii="宋体" w:hAnsi="宋体"/>
          <w:color w:val="auto"/>
          <w:lang w:val="en-US" w:eastAsia="zh-CN"/>
        </w:rPr>
        <w:t>1</w:t>
      </w:r>
      <w:r>
        <w:rPr>
          <w:rFonts w:hint="eastAsia" w:ascii="宋体" w:hAnsi="宋体" w:eastAsia="宋体"/>
          <w:color w:val="auto"/>
        </w:rPr>
        <w:t>.3以联合体形式参加政府采购活动，联合体各方均为中小企业的，联合体视同中小企业。其中，联合体各方均为小微企业的，联合体视同小微企业。</w:t>
      </w:r>
    </w:p>
    <w:p w14:paraId="38A08596">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4</w:t>
      </w:r>
      <w:r>
        <w:rPr>
          <w:rFonts w:hint="eastAsia" w:ascii="宋体" w:hAnsi="宋体"/>
          <w:color w:val="auto"/>
          <w:lang w:val="en-US" w:eastAsia="zh-CN"/>
        </w:rPr>
        <w:t>1</w:t>
      </w:r>
      <w:r>
        <w:rPr>
          <w:rFonts w:hint="eastAsia" w:ascii="宋体" w:hAnsi="宋体" w:eastAsia="宋体"/>
          <w:color w:val="auto"/>
        </w:rPr>
        <w:t>.4在货物采购项目中，供应商提供的货物既有中小企业制造货物，也有大型企业制造货物的，不享受中小企业扶持政策。</w:t>
      </w:r>
    </w:p>
    <w:p w14:paraId="5C9F16F4">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4</w:t>
      </w:r>
      <w:r>
        <w:rPr>
          <w:rFonts w:hint="eastAsia" w:ascii="宋体" w:hAnsi="宋体"/>
          <w:color w:val="auto"/>
          <w:lang w:val="en-US" w:eastAsia="zh-CN"/>
        </w:rPr>
        <w:t>1</w:t>
      </w:r>
      <w:r>
        <w:rPr>
          <w:rFonts w:hint="eastAsia" w:ascii="宋体" w:hAnsi="宋体" w:eastAsia="宋体"/>
          <w:color w:val="auto"/>
        </w:rPr>
        <w:t>.</w:t>
      </w:r>
      <w:r>
        <w:rPr>
          <w:rFonts w:ascii="宋体" w:hAnsi="宋体" w:eastAsia="宋体"/>
          <w:color w:val="auto"/>
        </w:rPr>
        <w:t>5</w:t>
      </w:r>
      <w:r>
        <w:rPr>
          <w:rFonts w:hint="eastAsia" w:ascii="宋体" w:hAnsi="宋体" w:eastAsia="宋体"/>
          <w:color w:val="auto"/>
        </w:rPr>
        <w:t>供应商提供的产品取得两个及以上优先采购产品认证的，评审时只有其中一项产品能够享受优先采购优惠（供应商自行选择，并在响应文件中并填报相关信息及数据）。</w:t>
      </w:r>
    </w:p>
    <w:p w14:paraId="34FA08B9">
      <w:pPr>
        <w:adjustRightInd w:val="0"/>
        <w:snapToGrid w:val="0"/>
        <w:spacing w:line="360" w:lineRule="auto"/>
        <w:ind w:firstLine="420" w:firstLineChars="200"/>
        <w:jc w:val="left"/>
        <w:outlineLvl w:val="9"/>
        <w:rPr>
          <w:rFonts w:ascii="宋体" w:hAnsi="宋体"/>
          <w:color w:val="auto"/>
        </w:rPr>
      </w:pPr>
      <w:r>
        <w:rPr>
          <w:rFonts w:hint="eastAsia" w:ascii="宋体" w:hAnsi="宋体" w:eastAsia="宋体"/>
          <w:color w:val="auto"/>
        </w:rPr>
        <w:t>4</w:t>
      </w:r>
      <w:r>
        <w:rPr>
          <w:rFonts w:hint="eastAsia" w:ascii="宋体" w:hAnsi="宋体"/>
          <w:color w:val="auto"/>
          <w:lang w:val="en-US" w:eastAsia="zh-CN"/>
        </w:rPr>
        <w:t>1</w:t>
      </w:r>
      <w:r>
        <w:rPr>
          <w:rFonts w:hint="eastAsia" w:ascii="宋体" w:hAnsi="宋体" w:eastAsia="宋体"/>
          <w:color w:val="auto"/>
        </w:rPr>
        <w:t>.</w:t>
      </w:r>
      <w:r>
        <w:rPr>
          <w:rFonts w:ascii="宋体" w:hAnsi="宋体" w:eastAsia="宋体"/>
          <w:color w:val="auto"/>
        </w:rPr>
        <w:t>6</w:t>
      </w:r>
      <w:r>
        <w:rPr>
          <w:rFonts w:hint="eastAsia" w:ascii="宋体" w:hAnsi="宋体" w:eastAsia="宋体"/>
          <w:color w:val="auto"/>
        </w:rPr>
        <w:t>“</w:t>
      </w:r>
      <w:r>
        <w:rPr>
          <w:rFonts w:hint="eastAsia" w:ascii="宋体" w:hAnsi="宋体"/>
          <w:color w:val="auto"/>
        </w:rPr>
        <w:t>价格评审优惠”可以与同时属于“节能产品”、“环境标志产品”中的一项“优先采购”累加计算。</w:t>
      </w:r>
    </w:p>
    <w:p w14:paraId="4C1E3E8E">
      <w:pPr>
        <w:spacing w:line="360" w:lineRule="auto"/>
        <w:outlineLvl w:val="9"/>
        <w:rPr>
          <w:rFonts w:hint="eastAsia" w:ascii="宋体" w:hAnsi="宋体" w:eastAsia="宋体" w:cs="宋体"/>
          <w:b/>
          <w:bCs/>
          <w:color w:val="auto"/>
          <w:sz w:val="22"/>
          <w:szCs w:val="22"/>
          <w:lang w:val="en-US" w:eastAsia="zh-CN"/>
        </w:rPr>
      </w:pPr>
      <w:bookmarkStart w:id="142" w:name="_Toc107997885"/>
      <w:bookmarkStart w:id="143" w:name="_Toc23255846"/>
      <w:bookmarkStart w:id="144" w:name="_Toc107998012"/>
      <w:bookmarkStart w:id="145" w:name="_Toc62225470"/>
      <w:bookmarkStart w:id="146" w:name="_Toc23243979"/>
      <w:r>
        <w:rPr>
          <w:rFonts w:hint="eastAsia" w:ascii="宋体" w:hAnsi="宋体" w:eastAsia="宋体" w:cs="宋体"/>
          <w:b/>
          <w:bCs/>
          <w:color w:val="auto"/>
          <w:sz w:val="22"/>
          <w:szCs w:val="22"/>
          <w:lang w:val="en-US" w:eastAsia="zh-CN"/>
        </w:rPr>
        <w:t>42.供应商应提供的政府采购政策证明资料</w:t>
      </w:r>
      <w:bookmarkEnd w:id="142"/>
      <w:bookmarkEnd w:id="143"/>
      <w:bookmarkEnd w:id="144"/>
      <w:bookmarkEnd w:id="145"/>
      <w:bookmarkEnd w:id="146"/>
    </w:p>
    <w:p w14:paraId="510E8BA1">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4</w:t>
      </w:r>
      <w:r>
        <w:rPr>
          <w:rFonts w:hint="eastAsia" w:ascii="宋体" w:hAnsi="宋体"/>
          <w:color w:val="auto"/>
          <w:lang w:val="en-US" w:eastAsia="zh-CN"/>
        </w:rPr>
        <w:t>2</w:t>
      </w:r>
      <w:r>
        <w:rPr>
          <w:rFonts w:hint="eastAsia" w:ascii="宋体" w:hAnsi="宋体" w:eastAsia="宋体"/>
          <w:color w:val="auto"/>
        </w:rPr>
        <w:t>.1符合本章第3</w:t>
      </w:r>
      <w:r>
        <w:rPr>
          <w:rFonts w:hint="eastAsia" w:ascii="宋体" w:hAnsi="宋体"/>
          <w:color w:val="auto"/>
          <w:lang w:val="en-US" w:eastAsia="zh-CN"/>
        </w:rPr>
        <w:t>7</w:t>
      </w:r>
      <w:r>
        <w:rPr>
          <w:rFonts w:hint="eastAsia" w:ascii="宋体" w:hAnsi="宋体" w:eastAsia="宋体"/>
          <w:color w:val="auto"/>
        </w:rPr>
        <w:t>条、第</w:t>
      </w:r>
      <w:r>
        <w:rPr>
          <w:rFonts w:hint="eastAsia" w:ascii="宋体" w:hAnsi="宋体"/>
          <w:color w:val="auto"/>
          <w:lang w:val="en-US" w:eastAsia="zh-CN"/>
        </w:rPr>
        <w:t>38</w:t>
      </w:r>
      <w:r>
        <w:rPr>
          <w:rFonts w:hint="eastAsia" w:ascii="宋体" w:hAnsi="宋体" w:eastAsia="宋体"/>
          <w:color w:val="auto"/>
        </w:rPr>
        <w:t>条、第</w:t>
      </w:r>
      <w:r>
        <w:rPr>
          <w:rFonts w:hint="eastAsia" w:ascii="宋体" w:hAnsi="宋体"/>
          <w:color w:val="auto"/>
          <w:lang w:val="en-US" w:eastAsia="zh-CN"/>
        </w:rPr>
        <w:t>39</w:t>
      </w:r>
      <w:r>
        <w:rPr>
          <w:rFonts w:hint="eastAsia" w:ascii="宋体" w:hAnsi="宋体" w:eastAsia="宋体"/>
          <w:color w:val="auto"/>
        </w:rPr>
        <w:t>条、第4</w:t>
      </w:r>
      <w:r>
        <w:rPr>
          <w:rFonts w:hint="eastAsia" w:ascii="宋体" w:hAnsi="宋体"/>
          <w:color w:val="auto"/>
          <w:lang w:val="en-US" w:eastAsia="zh-CN"/>
        </w:rPr>
        <w:t>0</w:t>
      </w:r>
      <w:r>
        <w:rPr>
          <w:rFonts w:hint="eastAsia" w:ascii="宋体" w:hAnsi="宋体" w:eastAsia="宋体"/>
          <w:color w:val="auto"/>
        </w:rPr>
        <w:t>条规定的，供应商应在响应文件中提供相关证明资料。</w:t>
      </w:r>
    </w:p>
    <w:p w14:paraId="08DD00DC">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（1）</w:t>
      </w:r>
      <w:r>
        <w:rPr>
          <w:rFonts w:hint="eastAsia" w:ascii="宋体" w:hAnsi="宋体"/>
          <w:color w:val="auto"/>
        </w:rPr>
        <w:t>节能产品、环境标志产品：提供国家确定的认证机构出具的、处于有效期之内的节能产品、环境标志产品认证证书（复印件）。</w:t>
      </w:r>
    </w:p>
    <w:p w14:paraId="77898D65">
      <w:pPr>
        <w:adjustRightInd w:val="0"/>
        <w:snapToGrid w:val="0"/>
        <w:spacing w:line="360" w:lineRule="auto"/>
        <w:ind w:firstLine="420" w:firstLineChars="200"/>
        <w:jc w:val="left"/>
        <w:outlineLvl w:val="9"/>
        <w:rPr>
          <w:rFonts w:ascii="宋体" w:hAnsi="宋体"/>
          <w:color w:val="auto"/>
        </w:rPr>
      </w:pPr>
      <w:r>
        <w:rPr>
          <w:rFonts w:hint="eastAsia" w:ascii="宋体" w:hAnsi="宋体" w:eastAsia="宋体"/>
          <w:color w:val="auto"/>
        </w:rPr>
        <w:t>（</w:t>
      </w:r>
      <w:r>
        <w:rPr>
          <w:rFonts w:hint="eastAsia" w:ascii="宋体" w:hAnsi="宋体"/>
          <w:color w:val="auto"/>
          <w:lang w:val="en-US" w:eastAsia="zh-CN"/>
        </w:rPr>
        <w:t>2</w:t>
      </w:r>
      <w:r>
        <w:rPr>
          <w:rFonts w:hint="eastAsia" w:ascii="宋体" w:hAnsi="宋体" w:eastAsia="宋体"/>
          <w:color w:val="auto"/>
        </w:rPr>
        <w:t>）</w:t>
      </w:r>
      <w:r>
        <w:rPr>
          <w:rFonts w:hint="eastAsia" w:ascii="宋体" w:hAnsi="宋体"/>
          <w:color w:val="auto"/>
        </w:rPr>
        <w:t>中小企业：货物类采购项目，按《关于印发＜政府采购促进中小企业发展办法＞的通知》(财库[2020]46号) 和《关于印发中小企业划型标准规定的通知》（工信部联企业〔2011〕300号）文件规定提供中小企业声明函（格式）；工程、服务类采购项目，按《湖南省财政厅关于政府采购促进中小企业发展的有关措施的通知》（湘财购[</w:t>
      </w:r>
      <w:r>
        <w:rPr>
          <w:rFonts w:hint="eastAsia" w:ascii="宋体" w:hAnsi="宋体"/>
          <w:color w:val="auto"/>
          <w:lang w:eastAsia="zh-CN"/>
        </w:rPr>
        <w:t>2023</w:t>
      </w:r>
      <w:r>
        <w:rPr>
          <w:rFonts w:hint="eastAsia" w:ascii="宋体" w:hAnsi="宋体"/>
          <w:color w:val="auto"/>
        </w:rPr>
        <w:t>]17号）文件规定提供湖南省政府采购供应商资格承诺函（格式）</w:t>
      </w:r>
      <w:r>
        <w:rPr>
          <w:rFonts w:hint="eastAsia" w:ascii="宋体" w:hAnsi="宋体"/>
          <w:color w:val="auto"/>
          <w:szCs w:val="21"/>
        </w:rPr>
        <w:t>。</w:t>
      </w:r>
    </w:p>
    <w:p w14:paraId="032CD111">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w:t>
      </w:r>
      <w:r>
        <w:rPr>
          <w:rFonts w:hint="eastAsia" w:ascii="宋体" w:hAnsi="宋体"/>
          <w:color w:val="auto"/>
          <w:lang w:val="en-US" w:eastAsia="zh-CN"/>
        </w:rPr>
        <w:t>3</w:t>
      </w:r>
      <w:r>
        <w:rPr>
          <w:rFonts w:hint="eastAsia" w:ascii="宋体" w:hAnsi="宋体" w:eastAsia="宋体"/>
          <w:color w:val="auto"/>
        </w:rPr>
        <w:t>）监狱企业：按《关于政府采购支持监狱企业发展有关问题的通知》(财库〔2014〕68号)文件规定提供证明文件（复印件）。</w:t>
      </w:r>
    </w:p>
    <w:p w14:paraId="74C7D40A">
      <w:pPr>
        <w:adjustRightInd w:val="0"/>
        <w:snapToGrid w:val="0"/>
        <w:spacing w:line="360" w:lineRule="auto"/>
        <w:ind w:firstLine="420" w:firstLineChars="200"/>
        <w:jc w:val="left"/>
        <w:outlineLvl w:val="9"/>
        <w:rPr>
          <w:rFonts w:ascii="宋体" w:hAnsi="宋体" w:eastAsia="宋体"/>
          <w:color w:val="auto"/>
        </w:rPr>
      </w:pPr>
      <w:r>
        <w:rPr>
          <w:rFonts w:hint="eastAsia" w:ascii="宋体" w:hAnsi="宋体" w:eastAsia="宋体"/>
          <w:color w:val="auto"/>
        </w:rPr>
        <w:t>（</w:t>
      </w:r>
      <w:r>
        <w:rPr>
          <w:rFonts w:hint="eastAsia" w:ascii="宋体" w:hAnsi="宋体"/>
          <w:color w:val="auto"/>
          <w:lang w:val="en-US" w:eastAsia="zh-CN"/>
        </w:rPr>
        <w:t>4</w:t>
      </w:r>
      <w:r>
        <w:rPr>
          <w:rFonts w:hint="eastAsia" w:ascii="宋体" w:hAnsi="宋体" w:eastAsia="宋体"/>
          <w:color w:val="auto"/>
        </w:rPr>
        <w:t>）残疾人福利性单位：按《关于促进残疾人就业政府采购政策的通知》(财库〔2017〕141号)文件规定提供《残疾人福利性单位声明函》（格式）。</w:t>
      </w:r>
    </w:p>
    <w:p w14:paraId="31D8ADCD">
      <w:pPr>
        <w:spacing w:line="360" w:lineRule="auto"/>
        <w:outlineLvl w:val="9"/>
        <w:rPr>
          <w:rFonts w:hint="eastAsia" w:ascii="宋体" w:hAnsi="宋体" w:eastAsia="宋体" w:cs="宋体"/>
          <w:b/>
          <w:bCs/>
          <w:color w:val="auto"/>
          <w:sz w:val="22"/>
          <w:szCs w:val="22"/>
          <w:lang w:val="en-US" w:eastAsia="zh-CN"/>
        </w:rPr>
      </w:pPr>
      <w:bookmarkStart w:id="147" w:name="_Toc62225472"/>
      <w:bookmarkStart w:id="148" w:name="_Toc107997886"/>
      <w:bookmarkStart w:id="149" w:name="_Toc107998013"/>
      <w:r>
        <w:rPr>
          <w:rFonts w:hint="eastAsia" w:ascii="宋体" w:hAnsi="宋体" w:eastAsia="宋体" w:cs="宋体"/>
          <w:b/>
          <w:bCs/>
          <w:color w:val="auto"/>
          <w:sz w:val="22"/>
          <w:szCs w:val="22"/>
          <w:lang w:val="en-US" w:eastAsia="zh-CN"/>
        </w:rPr>
        <w:t>43. 采购进口产品</w:t>
      </w:r>
    </w:p>
    <w:p w14:paraId="011502A7">
      <w:pPr>
        <w:adjustRightInd w:val="0"/>
        <w:snapToGrid w:val="0"/>
        <w:spacing w:line="360" w:lineRule="auto"/>
        <w:ind w:firstLine="420" w:firstLineChars="200"/>
        <w:jc w:val="left"/>
        <w:outlineLvl w:val="9"/>
        <w:rPr>
          <w:rFonts w:ascii="黑体" w:hAnsi="黑体" w:eastAsia="黑体"/>
          <w:b/>
          <w:bCs/>
          <w:color w:val="auto"/>
          <w:sz w:val="24"/>
        </w:rPr>
      </w:pPr>
      <w:r>
        <w:rPr>
          <w:rFonts w:hint="eastAsia" w:ascii="宋体" w:hAnsi="宋体" w:cs="宋体"/>
          <w:bCs/>
          <w:color w:val="auto"/>
          <w:kern w:val="0"/>
          <w:szCs w:val="21"/>
        </w:rPr>
        <w:t>4</w:t>
      </w:r>
      <w:r>
        <w:rPr>
          <w:rFonts w:hint="eastAsia" w:ascii="宋体" w:hAnsi="宋体" w:cs="宋体"/>
          <w:bCs/>
          <w:color w:val="auto"/>
          <w:kern w:val="0"/>
          <w:szCs w:val="21"/>
          <w:lang w:val="en-US" w:eastAsia="zh-CN"/>
        </w:rPr>
        <w:t>3</w:t>
      </w:r>
      <w:r>
        <w:rPr>
          <w:rFonts w:hint="eastAsia" w:ascii="宋体" w:hAnsi="宋体" w:cs="宋体"/>
          <w:bCs/>
          <w:color w:val="auto"/>
          <w:kern w:val="0"/>
          <w:szCs w:val="21"/>
        </w:rPr>
        <w:t>.1</w:t>
      </w:r>
      <w:r>
        <w:rPr>
          <w:rFonts w:hint="eastAsia" w:ascii="宋体" w:hAnsi="宋体" w:cs="宋体"/>
          <w:bCs/>
          <w:color w:val="auto"/>
          <w:kern w:val="0"/>
          <w:szCs w:val="21"/>
          <w:lang w:val="zh-CN"/>
        </w:rPr>
        <w:t>进口产品是指符合《政府采购进口产品管理办法》（财库〔2007〕119号）和《关于政府采购进口产品管理有关问题的通知》（财办库〔2008〕248号）文件规定的产品。</w:t>
      </w:r>
      <w:r>
        <w:rPr>
          <w:rFonts w:hint="eastAsia" w:ascii="宋体" w:hAnsi="宋体" w:cs="宋体"/>
          <w:b/>
          <w:color w:val="auto"/>
          <w:kern w:val="0"/>
          <w:szCs w:val="21"/>
          <w:lang w:val="zh-CN"/>
        </w:rPr>
        <w:t>除【磋商须知前附表】另有规定外，采购项目拒绝进口产品参加磋商。</w:t>
      </w:r>
      <w:r>
        <w:rPr>
          <w:rFonts w:hint="eastAsia" w:ascii="宋体" w:hAnsi="宋体" w:cs="宋体"/>
          <w:bCs/>
          <w:color w:val="auto"/>
          <w:kern w:val="0"/>
          <w:szCs w:val="21"/>
          <w:lang w:val="zh-CN"/>
        </w:rPr>
        <w:t>本款规定同意购买进口产品的，不限制满足磋商文件要求的国内产品参与磋商竞争。</w:t>
      </w:r>
    </w:p>
    <w:p w14:paraId="1CFB311C">
      <w:pPr>
        <w:spacing w:line="360" w:lineRule="auto"/>
        <w:outlineLvl w:val="9"/>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44.融资、担保</w:t>
      </w:r>
      <w:bookmarkEnd w:id="147"/>
      <w:bookmarkEnd w:id="148"/>
      <w:bookmarkEnd w:id="149"/>
    </w:p>
    <w:p w14:paraId="425969F6">
      <w:pPr>
        <w:adjustRightInd w:val="0"/>
        <w:snapToGrid w:val="0"/>
        <w:spacing w:line="360" w:lineRule="auto"/>
        <w:ind w:firstLine="420" w:firstLineChars="200"/>
        <w:jc w:val="left"/>
        <w:outlineLvl w:val="9"/>
        <w:rPr>
          <w:rFonts w:ascii="宋体" w:hAnsi="宋体"/>
          <w:color w:val="auto"/>
          <w:sz w:val="24"/>
        </w:rPr>
      </w:pPr>
      <w:r>
        <w:rPr>
          <w:rFonts w:hint="eastAsia" w:ascii="宋体" w:hAnsi="宋体" w:eastAsia="宋体"/>
          <w:color w:val="auto"/>
        </w:rPr>
        <w:t>45.1供应商有融资、担保需求的，可登陆中国湖南政府采购网查询相关银行、担保机构业务。</w:t>
      </w:r>
    </w:p>
    <w:p w14:paraId="6EC807A4">
      <w:pPr>
        <w:adjustRightInd w:val="0"/>
        <w:snapToGrid w:val="0"/>
        <w:spacing w:line="360" w:lineRule="auto"/>
        <w:jc w:val="center"/>
        <w:outlineLvl w:val="9"/>
        <w:rPr>
          <w:rFonts w:hint="eastAsia" w:ascii="宋体" w:hAnsi="宋体" w:eastAsia="宋体" w:cs="宋体"/>
          <w:b/>
          <w:bCs/>
          <w:color w:val="auto"/>
          <w:sz w:val="24"/>
          <w:szCs w:val="24"/>
        </w:rPr>
      </w:pPr>
      <w:bookmarkStart w:id="150" w:name="_Toc13791"/>
      <w:bookmarkStart w:id="151" w:name="_Toc107998014"/>
      <w:r>
        <w:rPr>
          <w:rFonts w:hint="eastAsia" w:ascii="宋体" w:hAnsi="宋体" w:eastAsia="宋体" w:cs="宋体"/>
          <w:b/>
          <w:bCs/>
          <w:color w:val="auto"/>
          <w:sz w:val="24"/>
          <w:szCs w:val="24"/>
        </w:rPr>
        <w:t>八、其他规定</w:t>
      </w:r>
      <w:bookmarkEnd w:id="150"/>
      <w:bookmarkEnd w:id="151"/>
    </w:p>
    <w:p w14:paraId="3A776A65">
      <w:pPr>
        <w:spacing w:line="360" w:lineRule="auto"/>
        <w:outlineLvl w:val="9"/>
        <w:rPr>
          <w:rFonts w:hint="eastAsia" w:ascii="宋体" w:hAnsi="宋体" w:eastAsia="宋体" w:cs="宋体"/>
          <w:b/>
          <w:bCs/>
          <w:color w:val="auto"/>
          <w:sz w:val="22"/>
          <w:szCs w:val="22"/>
          <w:lang w:val="en-US" w:eastAsia="zh-CN"/>
        </w:rPr>
      </w:pPr>
      <w:bookmarkStart w:id="152" w:name="_Toc107997888"/>
      <w:bookmarkStart w:id="153" w:name="_Toc107998015"/>
      <w:r>
        <w:rPr>
          <w:rFonts w:hint="eastAsia" w:ascii="宋体" w:hAnsi="宋体" w:eastAsia="宋体" w:cs="宋体"/>
          <w:b/>
          <w:bCs/>
          <w:color w:val="auto"/>
          <w:sz w:val="22"/>
          <w:szCs w:val="22"/>
          <w:lang w:val="en-US" w:eastAsia="zh-CN"/>
        </w:rPr>
        <w:t>45.其他规定</w:t>
      </w:r>
      <w:bookmarkEnd w:id="152"/>
      <w:bookmarkEnd w:id="153"/>
    </w:p>
    <w:p w14:paraId="4AA3DB38">
      <w:pPr>
        <w:adjustRightInd w:val="0"/>
        <w:snapToGrid w:val="0"/>
        <w:spacing w:line="360" w:lineRule="auto"/>
        <w:ind w:firstLine="420" w:firstLineChars="200"/>
        <w:jc w:val="left"/>
        <w:outlineLvl w:val="9"/>
        <w:rPr>
          <w:rFonts w:ascii="宋体" w:hAnsi="宋体"/>
          <w:color w:val="auto"/>
        </w:rPr>
      </w:pPr>
      <w:r>
        <w:rPr>
          <w:rFonts w:ascii="宋体" w:hAnsi="宋体"/>
          <w:color w:val="auto"/>
        </w:rPr>
        <w:t>4</w:t>
      </w:r>
      <w:r>
        <w:rPr>
          <w:rFonts w:hint="eastAsia" w:ascii="宋体" w:hAnsi="宋体"/>
          <w:color w:val="auto"/>
          <w:lang w:val="en-US" w:eastAsia="zh-CN"/>
        </w:rPr>
        <w:t>5</w:t>
      </w:r>
      <w:r>
        <w:rPr>
          <w:rFonts w:ascii="宋体" w:hAnsi="宋体"/>
          <w:color w:val="auto"/>
        </w:rPr>
        <w:t>.1</w:t>
      </w:r>
      <w:r>
        <w:rPr>
          <w:rFonts w:hint="eastAsia" w:ascii="宋体" w:hAnsi="宋体"/>
          <w:color w:val="auto"/>
        </w:rPr>
        <w:t>合同价款支付</w:t>
      </w:r>
    </w:p>
    <w:p w14:paraId="77DD968C">
      <w:pPr>
        <w:adjustRightInd w:val="0"/>
        <w:snapToGrid w:val="0"/>
        <w:spacing w:line="360" w:lineRule="auto"/>
        <w:ind w:firstLine="420" w:firstLineChars="200"/>
        <w:jc w:val="left"/>
        <w:outlineLvl w:val="9"/>
        <w:rPr>
          <w:rFonts w:ascii="宋体" w:hAnsi="宋体"/>
          <w:color w:val="auto"/>
        </w:rPr>
      </w:pPr>
      <w:r>
        <w:rPr>
          <w:rFonts w:hint="eastAsia" w:ascii="宋体" w:hAnsi="宋体"/>
          <w:color w:val="auto"/>
        </w:rPr>
        <w:t>（1）竞争性</w:t>
      </w:r>
      <w:r>
        <w:rPr>
          <w:rFonts w:hint="eastAsia" w:ascii="宋体" w:hAnsi="宋体"/>
          <w:color w:val="auto"/>
          <w:lang w:eastAsia="zh-CN"/>
        </w:rPr>
        <w:t>磋商</w:t>
      </w:r>
      <w:r>
        <w:rPr>
          <w:rFonts w:hint="eastAsia" w:ascii="宋体" w:hAnsi="宋体"/>
          <w:color w:val="auto"/>
        </w:rPr>
        <w:t>文件规定支付合同预付款的，采购人应按【</w:t>
      </w:r>
      <w:r>
        <w:rPr>
          <w:rFonts w:hint="eastAsia" w:ascii="宋体" w:hAnsi="宋体"/>
          <w:color w:val="auto"/>
          <w:lang w:eastAsia="zh-CN"/>
        </w:rPr>
        <w:t>磋商</w:t>
      </w:r>
      <w:r>
        <w:rPr>
          <w:rFonts w:hint="eastAsia" w:ascii="宋体" w:hAnsi="宋体"/>
          <w:color w:val="auto"/>
        </w:rPr>
        <w:t>须知前附表】规定的支付比例和支付条件向符合要求的成交供应商及时支付相应款项，并在政府采购合同中进行明确。</w:t>
      </w:r>
    </w:p>
    <w:p w14:paraId="1D37FE94">
      <w:pPr>
        <w:adjustRightInd w:val="0"/>
        <w:snapToGrid w:val="0"/>
        <w:spacing w:line="360" w:lineRule="auto"/>
        <w:ind w:firstLine="420" w:firstLineChars="200"/>
        <w:jc w:val="left"/>
        <w:outlineLvl w:val="9"/>
        <w:rPr>
          <w:rFonts w:ascii="宋体" w:hAnsi="宋体"/>
          <w:color w:val="auto"/>
        </w:rPr>
      </w:pPr>
      <w:r>
        <w:rPr>
          <w:rFonts w:hint="eastAsia" w:ascii="宋体" w:hAnsi="宋体"/>
          <w:color w:val="auto"/>
        </w:rPr>
        <w:t>（2）竞争性</w:t>
      </w:r>
      <w:r>
        <w:rPr>
          <w:rFonts w:hint="eastAsia" w:ascii="宋体" w:hAnsi="宋体"/>
          <w:color w:val="auto"/>
          <w:lang w:eastAsia="zh-CN"/>
        </w:rPr>
        <w:t>磋商</w:t>
      </w:r>
      <w:r>
        <w:rPr>
          <w:rFonts w:hint="eastAsia" w:ascii="宋体" w:hAnsi="宋体"/>
          <w:color w:val="auto"/>
        </w:rPr>
        <w:t>文件规定需提交质量保证金的，采购人可以按【</w:t>
      </w:r>
      <w:r>
        <w:rPr>
          <w:rFonts w:hint="eastAsia" w:ascii="宋体" w:hAnsi="宋体"/>
          <w:color w:val="auto"/>
          <w:lang w:eastAsia="zh-CN"/>
        </w:rPr>
        <w:t>磋商</w:t>
      </w:r>
      <w:r>
        <w:rPr>
          <w:rFonts w:hint="eastAsia" w:ascii="宋体" w:hAnsi="宋体"/>
          <w:color w:val="auto"/>
        </w:rPr>
        <w:t>须知前附表】规定要求成交供应商提交质量保证金，并在政府采购合同中进行明确。</w:t>
      </w:r>
    </w:p>
    <w:p w14:paraId="42185EAF">
      <w:pPr>
        <w:adjustRightInd w:val="0"/>
        <w:snapToGrid w:val="0"/>
        <w:spacing w:line="360" w:lineRule="auto"/>
        <w:ind w:firstLine="420" w:firstLineChars="200"/>
        <w:jc w:val="left"/>
        <w:outlineLvl w:val="9"/>
        <w:rPr>
          <w:rFonts w:ascii="宋体" w:hAnsi="宋体"/>
          <w:color w:val="auto"/>
        </w:rPr>
      </w:pPr>
      <w:r>
        <w:rPr>
          <w:rFonts w:hint="eastAsia" w:ascii="宋体" w:hAnsi="宋体"/>
          <w:color w:val="auto"/>
        </w:rPr>
        <w:t>（3）供应商可以保函、电子增信替代预付款担保、质量保证金。</w:t>
      </w:r>
    </w:p>
    <w:p w14:paraId="0199D634">
      <w:pPr>
        <w:adjustRightInd w:val="0"/>
        <w:snapToGrid w:val="0"/>
        <w:spacing w:line="360" w:lineRule="auto"/>
        <w:ind w:firstLine="420" w:firstLineChars="200"/>
        <w:jc w:val="left"/>
        <w:outlineLvl w:val="9"/>
        <w:rPr>
          <w:rFonts w:ascii="宋体" w:hAnsi="宋体"/>
          <w:color w:val="auto"/>
          <w:szCs w:val="21"/>
        </w:rPr>
      </w:pPr>
      <w:r>
        <w:rPr>
          <w:rFonts w:hint="eastAsia" w:ascii="宋体" w:hAnsi="宋体"/>
          <w:color w:val="auto"/>
        </w:rPr>
        <w:t>4</w:t>
      </w:r>
      <w:r>
        <w:rPr>
          <w:rFonts w:hint="eastAsia" w:ascii="宋体" w:hAnsi="宋体"/>
          <w:color w:val="auto"/>
          <w:lang w:val="en-US" w:eastAsia="zh-CN"/>
        </w:rPr>
        <w:t>5</w:t>
      </w:r>
      <w:r>
        <w:rPr>
          <w:rFonts w:hint="eastAsia" w:ascii="宋体" w:hAnsi="宋体"/>
          <w:color w:val="auto"/>
        </w:rPr>
        <w:t>.</w:t>
      </w:r>
      <w:r>
        <w:rPr>
          <w:rFonts w:ascii="宋体" w:hAnsi="宋体"/>
          <w:color w:val="auto"/>
        </w:rPr>
        <w:t>2</w:t>
      </w:r>
      <w:r>
        <w:rPr>
          <w:rFonts w:hint="eastAsia" w:ascii="宋体" w:hAnsi="宋体"/>
          <w:color w:val="auto"/>
          <w:szCs w:val="21"/>
          <w:lang w:eastAsia="zh-CN"/>
        </w:rPr>
        <w:t>磋商</w:t>
      </w:r>
      <w:r>
        <w:rPr>
          <w:rFonts w:hint="eastAsia" w:ascii="宋体" w:hAnsi="宋体"/>
          <w:color w:val="auto"/>
          <w:szCs w:val="21"/>
        </w:rPr>
        <w:t>文件</w:t>
      </w:r>
      <w:r>
        <w:rPr>
          <w:rFonts w:hint="eastAsia" w:hAnsi="宋体"/>
          <w:color w:val="auto"/>
        </w:rPr>
        <w:t>的其他规定</w:t>
      </w:r>
      <w:r>
        <w:rPr>
          <w:rFonts w:hint="eastAsia" w:ascii="宋体" w:hAnsi="宋体"/>
          <w:color w:val="auto"/>
          <w:szCs w:val="21"/>
        </w:rPr>
        <w:t>见</w:t>
      </w:r>
      <w:r>
        <w:rPr>
          <w:rFonts w:hint="eastAsia" w:ascii="宋体" w:hAnsi="宋体"/>
          <w:b/>
          <w:color w:val="auto"/>
          <w:szCs w:val="21"/>
        </w:rPr>
        <w:t>【</w:t>
      </w:r>
      <w:r>
        <w:rPr>
          <w:rFonts w:hint="eastAsia" w:ascii="宋体" w:hAnsi="宋体"/>
          <w:b/>
          <w:color w:val="auto"/>
          <w:szCs w:val="21"/>
          <w:lang w:eastAsia="zh-CN"/>
        </w:rPr>
        <w:t>磋商</w:t>
      </w:r>
      <w:r>
        <w:rPr>
          <w:rFonts w:hint="eastAsia" w:ascii="宋体" w:hAnsi="宋体"/>
          <w:b/>
          <w:color w:val="auto"/>
          <w:szCs w:val="21"/>
        </w:rPr>
        <w:t>须知前附表】</w:t>
      </w:r>
      <w:r>
        <w:rPr>
          <w:rFonts w:hint="eastAsia" w:ascii="宋体" w:hAnsi="宋体"/>
          <w:color w:val="auto"/>
          <w:szCs w:val="21"/>
        </w:rPr>
        <w:t>。</w:t>
      </w:r>
    </w:p>
    <w:p w14:paraId="6502B33B">
      <w:pPr>
        <w:pStyle w:val="21"/>
        <w:ind w:left="0" w:leftChars="0" w:firstLine="0" w:firstLineChars="0"/>
        <w:rPr>
          <w:rFonts w:hint="default"/>
          <w:lang w:val="en-US" w:eastAsia="zh-CN"/>
        </w:rPr>
      </w:pPr>
    </w:p>
    <w:p w14:paraId="47F0AB12">
      <w:pPr>
        <w:pStyle w:val="3"/>
        <w:bidi w:val="0"/>
        <w:jc w:val="center"/>
        <w:rPr>
          <w:rFonts w:hint="eastAsia" w:ascii="黑体" w:hAnsi="华文中宋" w:eastAsia="黑体"/>
          <w:bCs/>
          <w:sz w:val="30"/>
          <w:szCs w:val="30"/>
        </w:rPr>
      </w:pPr>
      <w:bookmarkStart w:id="154" w:name="_Toc23284"/>
      <w:bookmarkStart w:id="155" w:name="_Toc19795"/>
      <w:r>
        <w:rPr>
          <w:rFonts w:hint="eastAsia" w:ascii="Times New Roman" w:hAnsi="Times New Roman" w:cs="Times New Roman"/>
          <w:b/>
          <w:bCs w:val="0"/>
        </w:rPr>
        <w:t xml:space="preserve">第三章  </w:t>
      </w:r>
      <w:bookmarkEnd w:id="154"/>
      <w:bookmarkEnd w:id="155"/>
      <w:r>
        <w:rPr>
          <w:rFonts w:hint="eastAsia" w:ascii="Times New Roman" w:hAnsi="Times New Roman" w:cs="Times New Roman"/>
          <w:b/>
          <w:bCs w:val="0"/>
        </w:rPr>
        <w:t>合同协议书</w:t>
      </w:r>
    </w:p>
    <w:p w14:paraId="4F6372E5">
      <w:pPr>
        <w:keepNext w:val="0"/>
        <w:keepLines w:val="0"/>
        <w:widowControl/>
        <w:suppressLineNumbers w:val="0"/>
        <w:tabs>
          <w:tab w:val="left" w:pos="1090"/>
        </w:tabs>
        <w:kinsoku w:val="0"/>
        <w:autoSpaceDE w:val="0"/>
        <w:autoSpaceDN/>
        <w:adjustRightInd w:val="0"/>
        <w:snapToGrid w:val="0"/>
        <w:spacing w:before="0" w:beforeAutospacing="0" w:after="0" w:afterAutospacing="0" w:line="46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u w:val="single"/>
          <w:lang w:val="en-US" w:eastAsia="zh-CN" w:bidi="ar"/>
        </w:rPr>
        <w:t>怀化市鹤城区城市建设投资有限公司</w:t>
      </w:r>
      <w:r>
        <w:rPr>
          <w:rFonts w:hint="eastAsia" w:ascii="宋体" w:hAnsi="宋体" w:eastAsia="宋体" w:cs="宋体"/>
          <w:snapToGrid/>
          <w:color w:val="000000"/>
          <w:spacing w:val="0"/>
          <w:kern w:val="0"/>
          <w:sz w:val="24"/>
          <w:szCs w:val="24"/>
          <w:lang w:val="en-US" w:eastAsia="zh-CN" w:bidi="ar"/>
        </w:rPr>
        <w:t>（发包人名称，以下简称“发包人”）为实施</w:t>
      </w:r>
      <w:r>
        <w:rPr>
          <w:rFonts w:hint="eastAsia" w:ascii="宋体" w:hAnsi="宋体" w:eastAsia="宋体" w:cs="宋体"/>
          <w:snapToGrid/>
          <w:color w:val="FF0000"/>
          <w:kern w:val="0"/>
          <w:sz w:val="24"/>
          <w:szCs w:val="24"/>
          <w:u w:val="single"/>
          <w:lang w:val="en-US" w:eastAsia="zh-CN" w:bidi="ar"/>
        </w:rPr>
        <w:t>鹤北新城城中村改造安置区配电工程(外线部分)</w:t>
      </w:r>
      <w:r>
        <w:rPr>
          <w:rFonts w:hint="eastAsia" w:ascii="宋体" w:hAnsi="宋体" w:eastAsia="宋体" w:cs="宋体"/>
          <w:snapToGrid/>
          <w:color w:val="000000"/>
          <w:spacing w:val="0"/>
          <w:kern w:val="0"/>
          <w:sz w:val="24"/>
          <w:szCs w:val="24"/>
          <w:lang w:val="en-US" w:eastAsia="zh-CN" w:bidi="ar"/>
        </w:rPr>
        <w:t>（项目名称</w:t>
      </w:r>
      <w:r>
        <w:rPr>
          <w:rFonts w:hint="eastAsia" w:ascii="宋体" w:hAnsi="宋体" w:eastAsia="宋体" w:cs="宋体"/>
          <w:snapToGrid/>
          <w:color w:val="000000"/>
          <w:spacing w:val="0"/>
          <w:w w:val="100"/>
          <w:kern w:val="0"/>
          <w:sz w:val="24"/>
          <w:szCs w:val="24"/>
          <w:lang w:val="en-US" w:eastAsia="zh-CN" w:bidi="ar"/>
        </w:rPr>
        <w:t>），</w:t>
      </w:r>
      <w:r>
        <w:rPr>
          <w:rFonts w:hint="eastAsia" w:ascii="宋体" w:hAnsi="宋体" w:eastAsia="宋体" w:cs="宋体"/>
          <w:snapToGrid/>
          <w:color w:val="000000"/>
          <w:spacing w:val="0"/>
          <w:kern w:val="0"/>
          <w:sz w:val="24"/>
          <w:szCs w:val="24"/>
          <w:lang w:val="en-US" w:eastAsia="zh-CN" w:bidi="ar"/>
        </w:rPr>
        <w:t xml:space="preserve">已接受 </w:t>
      </w:r>
      <w:r>
        <w:rPr>
          <w:rFonts w:hint="eastAsia" w:ascii="宋体" w:hAnsi="宋体" w:eastAsia="宋体" w:cs="宋体"/>
          <w:snapToGrid/>
          <w:color w:val="000000"/>
          <w:spacing w:val="0"/>
          <w:kern w:val="0"/>
          <w:sz w:val="24"/>
          <w:szCs w:val="24"/>
          <w:u w:val="single"/>
          <w:lang w:val="en-US" w:eastAsia="zh-CN" w:bidi="ar"/>
        </w:rPr>
        <w:t xml:space="preserve">        </w:t>
      </w:r>
      <w:r>
        <w:rPr>
          <w:rFonts w:hint="eastAsia" w:ascii="宋体" w:hAnsi="宋体" w:eastAsia="宋体" w:cs="宋体"/>
          <w:snapToGrid/>
          <w:color w:val="000000"/>
          <w:spacing w:val="0"/>
          <w:kern w:val="0"/>
          <w:sz w:val="24"/>
          <w:szCs w:val="24"/>
          <w:lang w:val="en-US" w:eastAsia="zh-CN" w:bidi="ar"/>
        </w:rPr>
        <w:t>（承包人名称，以下简称“承包人”）对该项目施工的投标。发包人和承包人共同达成如下协议。</w:t>
      </w:r>
    </w:p>
    <w:p w14:paraId="386DE46A">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一、本协议书与下列文件一起构成合同文件：</w:t>
      </w:r>
    </w:p>
    <w:p w14:paraId="34C53EE5">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（1）中标通知书；</w:t>
      </w:r>
    </w:p>
    <w:p w14:paraId="552D684D">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（2）投标函及投标函附录；</w:t>
      </w:r>
    </w:p>
    <w:p w14:paraId="6D6CE5F4">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（3）专用合同条款；</w:t>
      </w:r>
    </w:p>
    <w:p w14:paraId="31EEF116">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（4）通用合同条款；</w:t>
      </w:r>
    </w:p>
    <w:p w14:paraId="173917FC">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（5）技术标准和要求；</w:t>
      </w:r>
    </w:p>
    <w:p w14:paraId="032EFCAA">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（6）图纸；</w:t>
      </w:r>
    </w:p>
    <w:p w14:paraId="428E6E50">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（7）已标价工程量清单；</w:t>
      </w:r>
    </w:p>
    <w:p w14:paraId="212FE098">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（8）其他合同文件。</w:t>
      </w:r>
    </w:p>
    <w:p w14:paraId="0716D62A">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left"/>
        <w:textAlignment w:val="baseline"/>
        <w:rPr>
          <w:rFonts w:hint="eastAsia" w:ascii="宋体" w:hAnsi="宋体" w:eastAsia="宋体" w:cs="宋体"/>
          <w:color w:val="000000"/>
          <w:spacing w:val="0"/>
          <w:kern w:val="0"/>
          <w:sz w:val="24"/>
          <w:szCs w:val="24"/>
        </w:rPr>
      </w:pPr>
      <w:r>
        <w:rPr>
          <w:rFonts w:hint="eastAsia" w:ascii="宋体" w:hAnsi="宋体" w:eastAsia="宋体" w:cs="宋体"/>
          <w:snapToGrid/>
          <w:color w:val="000000"/>
          <w:spacing w:val="0"/>
          <w:kern w:val="0"/>
          <w:sz w:val="24"/>
          <w:szCs w:val="24"/>
          <w:lang w:val="en-US" w:eastAsia="zh-CN" w:bidi="ar"/>
        </w:rPr>
        <w:t>二、上述文件互相补充和解释，如有不明确或不一致之处， 以合同约定次序在先者为准。</w:t>
      </w:r>
    </w:p>
    <w:p w14:paraId="6FBD511E">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left"/>
        <w:textAlignment w:val="baseline"/>
        <w:rPr>
          <w:rFonts w:hint="eastAsia" w:ascii="宋体" w:hAnsi="宋体" w:eastAsia="宋体" w:cs="宋体"/>
          <w:color w:val="FF0000"/>
          <w:kern w:val="0"/>
          <w:sz w:val="24"/>
          <w:szCs w:val="24"/>
        </w:rPr>
      </w:pPr>
      <w:bookmarkStart w:id="156" w:name="_Toc351203481"/>
      <w:bookmarkEnd w:id="156"/>
      <w:r>
        <w:rPr>
          <w:rFonts w:hint="eastAsia" w:ascii="宋体" w:hAnsi="宋体" w:eastAsia="宋体" w:cs="宋体"/>
          <w:snapToGrid/>
          <w:color w:val="FF0000"/>
          <w:kern w:val="0"/>
          <w:sz w:val="24"/>
          <w:szCs w:val="24"/>
          <w:lang w:val="en-US" w:eastAsia="zh-CN" w:bidi="ar"/>
        </w:rPr>
        <w:t>三、工程概况</w:t>
      </w:r>
    </w:p>
    <w:p w14:paraId="7D5BABFA">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70" w:firstLineChars="196"/>
        <w:jc w:val="left"/>
        <w:textAlignment w:val="baseline"/>
        <w:rPr>
          <w:rFonts w:hint="eastAsia" w:ascii="宋体" w:hAnsi="宋体" w:eastAsia="宋体" w:cs="宋体"/>
          <w:color w:val="FF0000"/>
          <w:kern w:val="0"/>
          <w:sz w:val="24"/>
          <w:szCs w:val="24"/>
          <w:u w:val="single"/>
        </w:rPr>
      </w:pPr>
      <w:r>
        <w:rPr>
          <w:rFonts w:hint="eastAsia" w:ascii="宋体" w:hAnsi="宋体" w:eastAsia="宋体" w:cs="宋体"/>
          <w:bCs/>
          <w:snapToGrid/>
          <w:color w:val="FF0000"/>
          <w:kern w:val="0"/>
          <w:sz w:val="24"/>
          <w:szCs w:val="24"/>
          <w:lang w:val="en-US" w:eastAsia="zh-CN" w:bidi="ar"/>
        </w:rPr>
        <w:t>1.工程名称</w:t>
      </w:r>
      <w:r>
        <w:rPr>
          <w:rFonts w:hint="eastAsia" w:ascii="宋体" w:hAnsi="宋体" w:eastAsia="宋体" w:cs="宋体"/>
          <w:snapToGrid/>
          <w:color w:val="FF0000"/>
          <w:kern w:val="0"/>
          <w:sz w:val="24"/>
          <w:szCs w:val="24"/>
          <w:lang w:val="en-US" w:eastAsia="zh-CN" w:bidi="ar"/>
        </w:rPr>
        <w:t>：</w:t>
      </w:r>
      <w:r>
        <w:rPr>
          <w:rFonts w:hint="eastAsia" w:ascii="宋体" w:hAnsi="宋体" w:eastAsia="宋体" w:cs="宋体"/>
          <w:snapToGrid/>
          <w:color w:val="FF0000"/>
          <w:kern w:val="0"/>
          <w:sz w:val="24"/>
          <w:szCs w:val="24"/>
          <w:u w:val="single"/>
          <w:lang w:val="en-US" w:eastAsia="zh-CN" w:bidi="ar"/>
        </w:rPr>
        <w:t>鹤北新城城中村改造安置区配电工程(外线部分)</w:t>
      </w:r>
      <w:r>
        <w:rPr>
          <w:rFonts w:hint="eastAsia" w:ascii="宋体" w:hAnsi="宋体" w:eastAsia="宋体" w:cs="宋体"/>
          <w:snapToGrid/>
          <w:color w:val="FF0000"/>
          <w:kern w:val="0"/>
          <w:sz w:val="24"/>
          <w:szCs w:val="24"/>
          <w:lang w:val="en-US" w:eastAsia="zh-CN" w:bidi="ar"/>
        </w:rPr>
        <w:t>。</w:t>
      </w:r>
    </w:p>
    <w:p w14:paraId="03F425CB">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70" w:firstLineChars="196"/>
        <w:jc w:val="left"/>
        <w:textAlignment w:val="baseline"/>
        <w:rPr>
          <w:rFonts w:hint="eastAsia" w:ascii="宋体" w:hAnsi="宋体" w:eastAsia="宋体" w:cs="宋体"/>
          <w:bCs/>
          <w:color w:val="FF0000"/>
          <w:kern w:val="0"/>
          <w:sz w:val="24"/>
          <w:szCs w:val="24"/>
        </w:rPr>
      </w:pPr>
      <w:r>
        <w:rPr>
          <w:rFonts w:hint="eastAsia" w:ascii="宋体" w:hAnsi="宋体" w:eastAsia="宋体" w:cs="宋体"/>
          <w:bCs/>
          <w:snapToGrid/>
          <w:color w:val="FF0000"/>
          <w:kern w:val="0"/>
          <w:sz w:val="24"/>
          <w:szCs w:val="24"/>
          <w:lang w:val="en-US" w:eastAsia="zh-CN" w:bidi="ar"/>
        </w:rPr>
        <w:t>2.工程地点：</w:t>
      </w:r>
      <w:bookmarkStart w:id="157" w:name="OLE_LINK1"/>
      <w:bookmarkEnd w:id="157"/>
      <w:r>
        <w:rPr>
          <w:rFonts w:hint="eastAsia" w:ascii="宋体" w:hAnsi="宋体" w:eastAsia="宋体" w:cs="宋体"/>
          <w:snapToGrid/>
          <w:color w:val="FF0000"/>
          <w:kern w:val="0"/>
          <w:sz w:val="24"/>
          <w:szCs w:val="24"/>
          <w:u w:val="single"/>
          <w:lang w:val="en-US" w:eastAsia="zh-CN" w:bidi="ar"/>
        </w:rPr>
        <w:t>怀化市鹤城区溆怀高速连接线与月池路交汇处西南角</w:t>
      </w:r>
      <w:r>
        <w:rPr>
          <w:rFonts w:hint="eastAsia" w:ascii="宋体" w:hAnsi="宋体" w:eastAsia="宋体" w:cs="宋体"/>
          <w:snapToGrid/>
          <w:color w:val="FF0000"/>
          <w:kern w:val="0"/>
          <w:sz w:val="24"/>
          <w:szCs w:val="24"/>
          <w:lang w:val="en-US" w:eastAsia="zh-CN" w:bidi="ar"/>
        </w:rPr>
        <w:t>。</w:t>
      </w:r>
    </w:p>
    <w:p w14:paraId="6E2992DC">
      <w:pPr>
        <w:keepNext w:val="0"/>
        <w:keepLines w:val="0"/>
        <w:widowControl w:val="0"/>
        <w:suppressLineNumbers w:val="0"/>
        <w:kinsoku w:val="0"/>
        <w:autoSpaceDE w:val="0"/>
        <w:autoSpaceDN/>
        <w:adjustRightInd w:val="0"/>
        <w:snapToGrid w:val="0"/>
        <w:spacing w:before="0" w:beforeAutospacing="0" w:after="0" w:afterAutospacing="0" w:line="500" w:lineRule="exact"/>
        <w:ind w:left="0" w:right="0" w:firstLine="480" w:firstLineChars="200"/>
        <w:jc w:val="left"/>
        <w:textAlignment w:val="baseline"/>
        <w:rPr>
          <w:rFonts w:hint="default" w:ascii="Arial" w:hAnsi="Arial" w:cs="Arial"/>
          <w:color w:val="000000"/>
          <w:kern w:val="0"/>
          <w:sz w:val="32"/>
          <w:szCs w:val="32"/>
        </w:rPr>
      </w:pPr>
      <w:r>
        <w:rPr>
          <w:rFonts w:hint="eastAsia" w:ascii="宋体" w:hAnsi="宋体" w:eastAsia="宋体" w:cs="宋体"/>
          <w:bCs/>
          <w:snapToGrid/>
          <w:color w:val="FF0000"/>
          <w:kern w:val="0"/>
          <w:sz w:val="24"/>
          <w:szCs w:val="24"/>
          <w:lang w:val="en-US" w:eastAsia="zh-CN" w:bidi="ar"/>
        </w:rPr>
        <w:t>3.工程内容：</w:t>
      </w:r>
      <w:r>
        <w:rPr>
          <w:rFonts w:hint="eastAsia" w:ascii="宋体" w:hAnsi="宋体" w:eastAsia="宋体" w:cs="宋体"/>
          <w:snapToGrid/>
          <w:color w:val="FF0000"/>
          <w:kern w:val="0"/>
          <w:sz w:val="24"/>
          <w:szCs w:val="24"/>
          <w:u w:val="single"/>
          <w:lang w:val="en-US" w:eastAsia="zh-CN" w:bidi="ar"/>
        </w:rPr>
        <w:t>本工程采用10KV双电源供电：1.主供：由110kV新街变10kV（324）间隔新出1回YJV22-3X400电缆至变电站出站竖井旁新建10KV鹤北新城专线新街变旁环网柜；新建10KV鹤北新城专线新街变旁环网柜出线2回，回路1将（324）间隔退出的鹤城区法院线YJV22-3X300电缆重新接进新街环网柜，回路2新建YJV22-3X300电缆接至鹤北新城开闭所高压柜。2.备供：由110kV市政变电站10KV迦南美地线城东水厂1#环网柜搭火，新出1回ZC-YJV22-8.7/15KV-3X120电缆新建电缆通道跨过溆怀连接线后沿溆怀连接线西侧敷设至鹤北新城专变配电房高压柜。</w:t>
      </w:r>
    </w:p>
    <w:p w14:paraId="5EEC343C">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70" w:firstLineChars="196"/>
        <w:jc w:val="both"/>
        <w:textAlignment w:val="baseline"/>
        <w:rPr>
          <w:rFonts w:hint="default" w:ascii="宋体" w:hAnsi="宋体" w:cs="Arial"/>
          <w:bCs/>
          <w:color w:val="FF0000"/>
          <w:kern w:val="0"/>
          <w:sz w:val="24"/>
          <w:szCs w:val="24"/>
        </w:rPr>
      </w:pPr>
      <w:r>
        <w:rPr>
          <w:rFonts w:hint="default" w:ascii="宋体" w:hAnsi="宋体" w:eastAsia="宋体" w:cs="Arial"/>
          <w:bCs/>
          <w:snapToGrid/>
          <w:color w:val="FF0000"/>
          <w:kern w:val="0"/>
          <w:sz w:val="24"/>
          <w:szCs w:val="24"/>
          <w:lang w:val="en-US" w:eastAsia="zh-CN" w:bidi="ar"/>
        </w:rPr>
        <w:t xml:space="preserve"> </w:t>
      </w:r>
    </w:p>
    <w:p w14:paraId="7ECE5910">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adjustRightInd w:val="0"/>
        <w:snapToGrid w:val="0"/>
        <w:spacing w:before="0" w:beforeAutospacing="0" w:after="0" w:afterAutospacing="0" w:line="460" w:lineRule="exact"/>
        <w:ind w:left="0" w:right="0" w:firstLine="480" w:firstLineChars="200"/>
        <w:jc w:val="both"/>
        <w:textAlignment w:val="baseline"/>
        <w:rPr>
          <w:rFonts w:hint="default" w:ascii="Times New Roman" w:hAnsi="Times New Roman" w:eastAsia="Arial" w:cs="Arial"/>
          <w:color w:val="FF0000"/>
          <w:kern w:val="2"/>
          <w:sz w:val="24"/>
          <w:szCs w:val="24"/>
        </w:rPr>
      </w:pPr>
      <w:r>
        <w:rPr>
          <w:rFonts w:hint="eastAsia" w:ascii="宋体" w:hAnsi="宋体" w:eastAsia="宋体" w:cs="宋体"/>
          <w:bCs/>
          <w:snapToGrid/>
          <w:color w:val="FF0000"/>
          <w:kern w:val="2"/>
          <w:sz w:val="24"/>
          <w:szCs w:val="24"/>
          <w:lang w:val="en-US" w:eastAsia="zh-CN" w:bidi="ar"/>
        </w:rPr>
        <w:t>4</w:t>
      </w:r>
      <w:r>
        <w:rPr>
          <w:rFonts w:hint="eastAsia" w:ascii="宋体" w:hAnsi="宋体" w:eastAsia="Arial" w:cs="Arial"/>
          <w:bCs/>
          <w:snapToGrid/>
          <w:color w:val="FF0000"/>
          <w:kern w:val="2"/>
          <w:sz w:val="24"/>
          <w:szCs w:val="24"/>
          <w:lang w:val="en-US" w:eastAsia="zh-CN" w:bidi="ar"/>
        </w:rPr>
        <w:t>.</w:t>
      </w:r>
      <w:r>
        <w:rPr>
          <w:rFonts w:hint="default" w:ascii="Arial" w:hAnsi="Arial" w:eastAsia="Arial" w:cs="Arial"/>
          <w:bCs/>
          <w:snapToGrid/>
          <w:color w:val="FF0000"/>
          <w:kern w:val="2"/>
          <w:sz w:val="24"/>
          <w:szCs w:val="24"/>
          <w:lang w:val="en-US" w:eastAsia="zh-CN" w:bidi="ar"/>
        </w:rPr>
        <w:t>工程承包范围：</w:t>
      </w:r>
      <w:r>
        <w:rPr>
          <w:rFonts w:hint="eastAsia" w:ascii="宋体" w:hAnsi="宋体" w:eastAsia="宋体" w:cs="宋体"/>
          <w:snapToGrid/>
          <w:color w:val="FF0000"/>
          <w:kern w:val="0"/>
          <w:sz w:val="24"/>
          <w:szCs w:val="24"/>
          <w:u w:val="single"/>
          <w:lang w:val="en-US" w:eastAsia="zh-CN" w:bidi="ar"/>
        </w:rPr>
        <w:t>鹤北新城城中村改造安置区配电工程(外线部分)（详见工程量清单及图纸）</w:t>
      </w:r>
      <w:r>
        <w:rPr>
          <w:rFonts w:hint="eastAsia" w:ascii="宋体" w:hAnsi="宋体" w:eastAsia="宋体" w:cs="宋体"/>
          <w:snapToGrid/>
          <w:color w:val="FF0000"/>
          <w:kern w:val="2"/>
          <w:sz w:val="24"/>
          <w:szCs w:val="24"/>
          <w:lang w:val="en-US" w:eastAsia="zh-CN" w:bidi="ar"/>
        </w:rPr>
        <w:t>。</w:t>
      </w:r>
    </w:p>
    <w:p w14:paraId="2F8A0C03">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both"/>
        <w:textAlignment w:val="baseline"/>
        <w:rPr>
          <w:rFonts w:hint="eastAsia" w:ascii="宋体" w:hAnsi="宋体" w:eastAsia="宋体" w:cs="宋体"/>
          <w:color w:val="FF0000"/>
          <w:kern w:val="0"/>
          <w:sz w:val="24"/>
          <w:szCs w:val="24"/>
        </w:rPr>
      </w:pPr>
      <w:r>
        <w:rPr>
          <w:rFonts w:hint="eastAsia" w:ascii="宋体" w:hAnsi="宋体" w:eastAsia="宋体" w:cs="宋体"/>
          <w:b w:val="0"/>
          <w:bCs w:val="0"/>
          <w:snapToGrid/>
          <w:color w:val="FF0000"/>
          <w:kern w:val="0"/>
          <w:sz w:val="24"/>
          <w:szCs w:val="24"/>
          <w:lang w:val="en-US" w:eastAsia="zh-CN" w:bidi="ar"/>
        </w:rPr>
        <w:t>四</w:t>
      </w:r>
      <w:r>
        <w:rPr>
          <w:rFonts w:hint="eastAsia" w:ascii="宋体" w:hAnsi="宋体" w:eastAsia="宋体" w:cs="宋体"/>
          <w:snapToGrid/>
          <w:color w:val="FF0000"/>
          <w:kern w:val="0"/>
          <w:sz w:val="24"/>
          <w:szCs w:val="24"/>
          <w:lang w:val="en-US" w:eastAsia="zh-CN" w:bidi="ar"/>
        </w:rPr>
        <w:t>、承包方式</w:t>
      </w:r>
    </w:p>
    <w:p w14:paraId="38C76FF8">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adjustRightInd w:val="0"/>
        <w:snapToGrid w:val="0"/>
        <w:spacing w:before="0" w:beforeAutospacing="0" w:after="0" w:afterAutospacing="0" w:line="460" w:lineRule="exact"/>
        <w:ind w:left="0" w:right="0" w:firstLine="480" w:firstLineChars="200"/>
        <w:jc w:val="both"/>
        <w:textAlignment w:val="baseline"/>
        <w:rPr>
          <w:rFonts w:hint="default" w:ascii="Times New Roman" w:hAnsi="Times New Roman" w:eastAsia="宋体" w:cs="Arial"/>
          <w:color w:val="000000"/>
          <w:kern w:val="2"/>
          <w:sz w:val="24"/>
          <w:szCs w:val="24"/>
        </w:rPr>
      </w:pPr>
      <w:r>
        <w:rPr>
          <w:rFonts w:hint="eastAsia" w:ascii="宋体" w:hAnsi="宋体" w:eastAsia="宋体" w:cs="宋体"/>
          <w:snapToGrid/>
          <w:color w:val="FF0000"/>
          <w:kern w:val="2"/>
          <w:sz w:val="24"/>
          <w:szCs w:val="24"/>
          <w:lang w:val="en-US" w:eastAsia="zh-CN" w:bidi="ar"/>
        </w:rPr>
        <w:t>本项目是因工程实施过程中，为了达到使用功能需要，承包人以包施工方案、包工、包料（设备、器材等）、包停复电手续、包安装、包系统调试、包竣工验收送电等的方式承包。</w:t>
      </w:r>
    </w:p>
    <w:p w14:paraId="0A7B72DC">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both"/>
        <w:textAlignment w:val="baseline"/>
        <w:rPr>
          <w:rFonts w:hint="eastAsia" w:ascii="宋体" w:hAnsi="宋体" w:eastAsia="宋体" w:cs="宋体"/>
          <w:color w:val="000000"/>
          <w:spacing w:val="0"/>
          <w:kern w:val="0"/>
          <w:sz w:val="24"/>
          <w:szCs w:val="24"/>
        </w:rPr>
      </w:pPr>
      <w:r>
        <w:rPr>
          <w:rFonts w:hint="eastAsia" w:ascii="宋体" w:hAnsi="宋体" w:eastAsia="宋体" w:cs="宋体"/>
          <w:snapToGrid/>
          <w:color w:val="000000"/>
          <w:spacing w:val="0"/>
          <w:kern w:val="0"/>
          <w:sz w:val="24"/>
          <w:szCs w:val="24"/>
          <w:lang w:val="en-US" w:eastAsia="zh-CN" w:bidi="ar"/>
        </w:rPr>
        <w:t>五、签约合同价：人民币（大写）</w:t>
      </w:r>
      <w:r>
        <w:rPr>
          <w:rFonts w:hint="eastAsia" w:ascii="宋体" w:hAnsi="宋体" w:eastAsia="宋体" w:cs="宋体"/>
          <w:snapToGrid/>
          <w:color w:val="000000"/>
          <w:spacing w:val="0"/>
          <w:kern w:val="0"/>
          <w:sz w:val="24"/>
          <w:szCs w:val="24"/>
          <w:u w:val="single"/>
          <w:lang w:val="en-US" w:eastAsia="zh-CN" w:bidi="ar"/>
        </w:rPr>
        <w:t xml:space="preserve">          </w:t>
      </w:r>
      <w:r>
        <w:rPr>
          <w:rFonts w:hint="eastAsia" w:ascii="宋体" w:hAnsi="宋体" w:eastAsia="宋体" w:cs="宋体"/>
          <w:snapToGrid/>
          <w:color w:val="000000"/>
          <w:spacing w:val="0"/>
          <w:kern w:val="0"/>
          <w:sz w:val="24"/>
          <w:szCs w:val="24"/>
          <w:lang w:val="en-US" w:eastAsia="zh-CN" w:bidi="ar"/>
        </w:rPr>
        <w:t xml:space="preserve"> 元 (¥ </w:t>
      </w:r>
      <w:r>
        <w:rPr>
          <w:rFonts w:hint="eastAsia" w:ascii="宋体" w:hAnsi="宋体" w:eastAsia="宋体" w:cs="宋体"/>
          <w:snapToGrid/>
          <w:color w:val="000000"/>
          <w:spacing w:val="0"/>
          <w:kern w:val="0"/>
          <w:sz w:val="24"/>
          <w:szCs w:val="24"/>
          <w:u w:val="single"/>
          <w:lang w:val="en-US" w:eastAsia="zh-CN" w:bidi="ar"/>
        </w:rPr>
        <w:t xml:space="preserve">         </w:t>
      </w:r>
      <w:r>
        <w:rPr>
          <w:rFonts w:hint="eastAsia" w:ascii="宋体" w:hAnsi="宋体" w:eastAsia="宋体" w:cs="宋体"/>
          <w:snapToGrid/>
          <w:color w:val="000000"/>
          <w:spacing w:val="0"/>
          <w:kern w:val="0"/>
          <w:sz w:val="24"/>
          <w:szCs w:val="24"/>
          <w:lang w:val="en-US" w:eastAsia="zh-CN" w:bidi="ar"/>
        </w:rPr>
        <w:t xml:space="preserve"> )。</w:t>
      </w:r>
    </w:p>
    <w:p w14:paraId="3420585A">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adjustRightInd w:val="0"/>
        <w:snapToGrid w:val="0"/>
        <w:spacing w:before="0" w:beforeAutospacing="0" w:after="0" w:afterAutospacing="0" w:line="460" w:lineRule="exact"/>
        <w:ind w:left="0" w:right="0"/>
        <w:jc w:val="both"/>
        <w:textAlignment w:val="baseline"/>
        <w:rPr>
          <w:rFonts w:hint="default" w:ascii="Times New Roman" w:hAnsi="Times New Roman" w:eastAsia="宋体" w:cs="Arial"/>
          <w:color w:val="000000"/>
          <w:kern w:val="2"/>
          <w:sz w:val="24"/>
          <w:szCs w:val="24"/>
        </w:rPr>
      </w:pPr>
      <w:r>
        <w:rPr>
          <w:rFonts w:hint="eastAsia" w:ascii="宋体" w:hAnsi="宋体" w:eastAsia="宋体" w:cs="宋体"/>
          <w:snapToGrid/>
          <w:color w:val="000000"/>
          <w:spacing w:val="0"/>
          <w:kern w:val="2"/>
          <w:sz w:val="24"/>
          <w:szCs w:val="24"/>
          <w:lang w:val="en-US" w:eastAsia="zh-CN" w:bidi="ar"/>
        </w:rPr>
        <w:t xml:space="preserve">    </w:t>
      </w:r>
      <w:r>
        <w:rPr>
          <w:rFonts w:hint="eastAsia" w:ascii="宋体" w:hAnsi="宋体" w:eastAsia="宋体" w:cs="宋体"/>
          <w:snapToGrid/>
          <w:color w:val="FF0000"/>
          <w:kern w:val="2"/>
          <w:sz w:val="24"/>
          <w:szCs w:val="24"/>
          <w:lang w:val="en-US" w:eastAsia="zh-CN" w:bidi="ar"/>
        </w:rPr>
        <w:t>本合同价是指包施工方案、包工、包料、包设备器材、包验收、包办相关手续、包安全文明施工措施费用、包调试、验收和税金等费用。与工程相关的电力报建、停送电、电力部门验收及等所有费用均包含在合同价内。</w:t>
      </w:r>
    </w:p>
    <w:p w14:paraId="35895C59">
      <w:pPr>
        <w:keepNext w:val="0"/>
        <w:keepLines w:val="0"/>
        <w:widowControl/>
        <w:suppressLineNumbers w:val="0"/>
        <w:kinsoku w:val="0"/>
        <w:autoSpaceDE w:val="0"/>
        <w:autoSpaceDN/>
        <w:adjustRightInd w:val="0"/>
        <w:snapToGrid w:val="0"/>
        <w:spacing w:before="0" w:beforeAutospacing="0" w:after="0" w:afterAutospacing="0" w:line="460" w:lineRule="exact"/>
        <w:ind w:left="0" w:right="0" w:rightChars="0" w:firstLine="480" w:firstLineChars="200"/>
        <w:jc w:val="both"/>
        <w:textAlignment w:val="baseline"/>
        <w:rPr>
          <w:rFonts w:hint="eastAsia" w:ascii="黑体" w:hAnsi="宋体" w:eastAsia="黑体" w:cs="黑体"/>
          <w:color w:val="FF0000"/>
          <w:kern w:val="0"/>
          <w:sz w:val="24"/>
          <w:szCs w:val="24"/>
        </w:rPr>
      </w:pPr>
      <w:r>
        <w:rPr>
          <w:rFonts w:hint="eastAsia" w:ascii="宋体" w:hAnsi="宋体" w:eastAsia="宋体" w:cs="宋体"/>
          <w:snapToGrid/>
          <w:color w:val="000000"/>
          <w:spacing w:val="0"/>
          <w:kern w:val="0"/>
          <w:sz w:val="24"/>
          <w:szCs w:val="24"/>
          <w:lang w:val="en-US" w:eastAsia="zh-CN" w:bidi="ar"/>
        </w:rPr>
        <w:t>六、承包人项目经理：</w:t>
      </w:r>
      <w:r>
        <w:rPr>
          <w:rFonts w:hint="eastAsia" w:ascii="宋体" w:hAnsi="宋体" w:eastAsia="宋体" w:cs="宋体"/>
          <w:snapToGrid/>
          <w:color w:val="000000"/>
          <w:spacing w:val="0"/>
          <w:kern w:val="0"/>
          <w:sz w:val="24"/>
          <w:szCs w:val="24"/>
          <w:u w:val="single"/>
          <w:lang w:val="en-US" w:eastAsia="zh-CN" w:bidi="ar"/>
        </w:rPr>
        <w:t xml:space="preserve">                </w:t>
      </w:r>
      <w:r>
        <w:rPr>
          <w:rFonts w:hint="eastAsia" w:ascii="宋体" w:hAnsi="宋体" w:eastAsia="宋体" w:cs="宋体"/>
          <w:snapToGrid/>
          <w:color w:val="000000"/>
          <w:spacing w:val="0"/>
          <w:kern w:val="0"/>
          <w:sz w:val="24"/>
          <w:szCs w:val="24"/>
          <w:lang w:val="en-US" w:eastAsia="zh-CN" w:bidi="ar"/>
        </w:rPr>
        <w:t>。</w:t>
      </w:r>
    </w:p>
    <w:p w14:paraId="0A355665">
      <w:pPr>
        <w:pStyle w:val="19"/>
        <w:keepNext w:val="0"/>
        <w:keepLines w:val="0"/>
        <w:widowControl w:val="0"/>
        <w:suppressLineNumbers w:val="0"/>
        <w:kinsoku/>
        <w:autoSpaceDE/>
        <w:autoSpaceDN/>
        <w:adjustRightInd/>
        <w:snapToGrid/>
        <w:spacing w:before="0" w:beforeAutospacing="0" w:after="0" w:afterAutospacing="0" w:line="460" w:lineRule="exact"/>
        <w:ind w:left="0" w:right="0" w:firstLine="480" w:firstLineChars="200"/>
        <w:jc w:val="both"/>
        <w:textAlignment w:val="auto"/>
        <w:rPr>
          <w:rFonts w:hint="eastAsia" w:ascii="宋体" w:hAnsi="宋体" w:eastAsia="宋体" w:cs="Times New Roman"/>
          <w:sz w:val="24"/>
          <w:szCs w:val="24"/>
        </w:rPr>
      </w:pPr>
      <w:r>
        <w:rPr>
          <w:rStyle w:val="78"/>
          <w:rFonts w:hint="eastAsia" w:ascii="宋体" w:hAnsi="宋体" w:eastAsia="宋体" w:cs="宋体"/>
          <w:color w:val="auto"/>
          <w:kern w:val="2"/>
          <w:sz w:val="24"/>
          <w:szCs w:val="24"/>
          <w:lang w:val="en-US" w:eastAsia="zh-CN" w:bidi="ar"/>
        </w:rPr>
        <w:t>七、工程质量符合：</w:t>
      </w:r>
      <w:r>
        <w:rPr>
          <w:rStyle w:val="78"/>
          <w:rFonts w:hint="eastAsia" w:ascii="宋体" w:hAnsi="宋体" w:eastAsia="宋体" w:cs="宋体"/>
          <w:color w:val="auto"/>
          <w:kern w:val="2"/>
          <w:sz w:val="24"/>
          <w:szCs w:val="24"/>
          <w:u w:val="single"/>
          <w:lang w:val="en-US" w:eastAsia="zh-CN" w:bidi="ar"/>
        </w:rPr>
        <w:t>符合现行国家及地方电力部门有关工程施工验收规范和标准的合格工程</w:t>
      </w:r>
      <w:r>
        <w:rPr>
          <w:rStyle w:val="78"/>
          <w:rFonts w:hint="eastAsia" w:ascii="宋体" w:hAnsi="宋体" w:eastAsia="宋体" w:cs="宋体"/>
          <w:color w:val="auto"/>
          <w:kern w:val="2"/>
          <w:sz w:val="24"/>
          <w:szCs w:val="24"/>
          <w:lang w:val="en-US" w:eastAsia="zh-CN" w:bidi="ar"/>
        </w:rPr>
        <w:t>标准。</w:t>
      </w:r>
    </w:p>
    <w:p w14:paraId="6122C562">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八、承包人承诺按合同约定承担工程的实施、完成及缺陷修复。</w:t>
      </w:r>
    </w:p>
    <w:p w14:paraId="1E398633">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九、发包人承诺按合同约定的条件、时间和方式向承包人支付合同价款。</w:t>
      </w:r>
    </w:p>
    <w:p w14:paraId="6A1966F2">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十、承包人应按照监理人指示开工，工期为</w:t>
      </w:r>
      <w:r>
        <w:rPr>
          <w:rFonts w:hint="eastAsia" w:ascii="宋体" w:hAnsi="宋体" w:eastAsia="宋体" w:cs="宋体"/>
          <w:snapToGrid/>
          <w:color w:val="000000"/>
          <w:spacing w:val="0"/>
          <w:kern w:val="0"/>
          <w:sz w:val="24"/>
          <w:szCs w:val="24"/>
          <w:u w:val="single"/>
          <w:lang w:val="en-US" w:eastAsia="zh-CN" w:bidi="ar"/>
        </w:rPr>
        <w:t xml:space="preserve"> 60 </w:t>
      </w:r>
      <w:r>
        <w:rPr>
          <w:rFonts w:hint="eastAsia" w:ascii="宋体" w:hAnsi="宋体" w:eastAsia="宋体" w:cs="宋体"/>
          <w:snapToGrid/>
          <w:color w:val="000000"/>
          <w:spacing w:val="0"/>
          <w:kern w:val="0"/>
          <w:sz w:val="24"/>
          <w:szCs w:val="24"/>
          <w:lang w:val="en-US" w:eastAsia="zh-CN" w:bidi="ar"/>
        </w:rPr>
        <w:t>日历天。</w:t>
      </w:r>
    </w:p>
    <w:p w14:paraId="1ABF358F">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十一、本协议书一式</w:t>
      </w:r>
      <w:r>
        <w:rPr>
          <w:rFonts w:hint="eastAsia" w:ascii="宋体" w:hAnsi="宋体" w:eastAsia="宋体" w:cs="宋体"/>
          <w:snapToGrid/>
          <w:color w:val="000000"/>
          <w:spacing w:val="0"/>
          <w:kern w:val="0"/>
          <w:sz w:val="24"/>
          <w:szCs w:val="24"/>
          <w:u w:val="single"/>
          <w:lang w:val="en-US" w:eastAsia="zh-CN" w:bidi="ar"/>
        </w:rPr>
        <w:t xml:space="preserve"> 6 </w:t>
      </w:r>
      <w:r>
        <w:rPr>
          <w:rFonts w:hint="eastAsia" w:ascii="宋体" w:hAnsi="宋体" w:eastAsia="宋体" w:cs="宋体"/>
          <w:snapToGrid/>
          <w:color w:val="000000"/>
          <w:spacing w:val="0"/>
          <w:kern w:val="0"/>
          <w:sz w:val="24"/>
          <w:szCs w:val="24"/>
          <w:lang w:val="en-US" w:eastAsia="zh-CN" w:bidi="ar"/>
        </w:rPr>
        <w:t>份，合同双方各执</w:t>
      </w:r>
      <w:r>
        <w:rPr>
          <w:rFonts w:hint="eastAsia" w:ascii="宋体" w:hAnsi="宋体" w:eastAsia="宋体" w:cs="宋体"/>
          <w:snapToGrid/>
          <w:color w:val="000000"/>
          <w:spacing w:val="0"/>
          <w:kern w:val="0"/>
          <w:sz w:val="24"/>
          <w:szCs w:val="24"/>
          <w:u w:val="single"/>
          <w:lang w:val="en-US" w:eastAsia="zh-CN" w:bidi="ar"/>
        </w:rPr>
        <w:t xml:space="preserve"> 3 </w:t>
      </w:r>
      <w:r>
        <w:rPr>
          <w:rFonts w:hint="eastAsia" w:ascii="宋体" w:hAnsi="宋体" w:eastAsia="宋体" w:cs="宋体"/>
          <w:snapToGrid/>
          <w:color w:val="000000"/>
          <w:spacing w:val="0"/>
          <w:kern w:val="0"/>
          <w:sz w:val="24"/>
          <w:szCs w:val="24"/>
          <w:lang w:val="en-US" w:eastAsia="zh-CN" w:bidi="ar"/>
        </w:rPr>
        <w:t>份。</w:t>
      </w:r>
    </w:p>
    <w:p w14:paraId="25CCC63F">
      <w:pPr>
        <w:keepNext w:val="0"/>
        <w:keepLines w:val="0"/>
        <w:widowControl/>
        <w:suppressLineNumbers w:val="0"/>
        <w:kinsoku w:val="0"/>
        <w:autoSpaceDE w:val="0"/>
        <w:autoSpaceDN/>
        <w:adjustRightInd w:val="0"/>
        <w:snapToGrid w:val="0"/>
        <w:spacing w:before="0" w:beforeAutospacing="0" w:after="0" w:afterAutospacing="0" w:line="46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十二、合同未尽事宜，双方另行签订补充协议。补充协议是合同的组成部分。</w:t>
      </w:r>
    </w:p>
    <w:p w14:paraId="35C559AE">
      <w:pPr>
        <w:keepNext w:val="0"/>
        <w:keepLines w:val="0"/>
        <w:widowControl/>
        <w:suppressLineNumbers w:val="0"/>
        <w:kinsoku w:val="0"/>
        <w:autoSpaceDE w:val="0"/>
        <w:autoSpaceDN/>
        <w:adjustRightInd w:val="0"/>
        <w:snapToGrid w:val="0"/>
        <w:spacing w:before="0" w:beforeAutospacing="0" w:after="0" w:afterAutospacing="0" w:line="460" w:lineRule="exact"/>
        <w:ind w:left="0" w:right="0"/>
        <w:jc w:val="both"/>
        <w:textAlignment w:val="baseline"/>
        <w:rPr>
          <w:rFonts w:hint="eastAsia" w:ascii="宋体" w:hAnsi="宋体" w:eastAsia="宋体" w:cs="宋体"/>
          <w:color w:val="000000"/>
          <w:spacing w:val="0"/>
          <w:kern w:val="0"/>
          <w:sz w:val="24"/>
          <w:szCs w:val="24"/>
        </w:rPr>
      </w:pPr>
      <w:r>
        <w:rPr>
          <w:rFonts w:hint="eastAsia" w:ascii="宋体" w:hAnsi="宋体" w:eastAsia="宋体" w:cs="宋体"/>
          <w:snapToGrid/>
          <w:color w:val="000000"/>
          <w:spacing w:val="0"/>
          <w:kern w:val="0"/>
          <w:sz w:val="24"/>
          <w:szCs w:val="24"/>
          <w:lang w:val="en-US" w:eastAsia="zh-CN" w:bidi="ar"/>
        </w:rPr>
        <w:t xml:space="preserve"> </w:t>
      </w:r>
    </w:p>
    <w:p w14:paraId="1C666BE0">
      <w:pPr>
        <w:keepNext w:val="0"/>
        <w:keepLines w:val="0"/>
        <w:widowControl/>
        <w:suppressLineNumbers w:val="0"/>
        <w:kinsoku w:val="0"/>
        <w:autoSpaceDE w:val="0"/>
        <w:autoSpaceDN/>
        <w:adjustRightInd w:val="0"/>
        <w:snapToGrid w:val="0"/>
        <w:spacing w:before="0" w:beforeAutospacing="0" w:after="0" w:afterAutospacing="0" w:line="460" w:lineRule="exact"/>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发包人：</w:t>
      </w:r>
      <w:r>
        <w:rPr>
          <w:rFonts w:hint="eastAsia" w:ascii="宋体" w:hAnsi="宋体" w:eastAsia="宋体" w:cs="宋体"/>
          <w:snapToGrid/>
          <w:color w:val="000000"/>
          <w:spacing w:val="0"/>
          <w:kern w:val="0"/>
          <w:sz w:val="24"/>
          <w:szCs w:val="24"/>
          <w:u w:val="single"/>
          <w:lang w:val="en-US" w:eastAsia="zh-CN" w:bidi="ar"/>
        </w:rPr>
        <w:t xml:space="preserve">                </w:t>
      </w:r>
      <w:r>
        <w:rPr>
          <w:rFonts w:hint="eastAsia" w:ascii="宋体" w:hAnsi="宋体" w:eastAsia="宋体" w:cs="宋体"/>
          <w:snapToGrid/>
          <w:color w:val="000000"/>
          <w:spacing w:val="0"/>
          <w:kern w:val="0"/>
          <w:sz w:val="24"/>
          <w:szCs w:val="24"/>
          <w:lang w:val="en-US" w:eastAsia="zh-CN" w:bidi="ar"/>
        </w:rPr>
        <w:t>（盖章）       承包人：</w:t>
      </w:r>
      <w:r>
        <w:rPr>
          <w:rFonts w:hint="eastAsia" w:ascii="宋体" w:hAnsi="宋体" w:eastAsia="宋体" w:cs="宋体"/>
          <w:snapToGrid/>
          <w:color w:val="000000"/>
          <w:spacing w:val="0"/>
          <w:kern w:val="0"/>
          <w:sz w:val="24"/>
          <w:szCs w:val="24"/>
          <w:u w:val="single"/>
          <w:lang w:val="en-US" w:eastAsia="zh-CN" w:bidi="ar"/>
        </w:rPr>
        <w:t xml:space="preserve">                </w:t>
      </w:r>
      <w:r>
        <w:rPr>
          <w:rFonts w:hint="eastAsia" w:ascii="宋体" w:hAnsi="宋体" w:eastAsia="宋体" w:cs="宋体"/>
          <w:snapToGrid/>
          <w:color w:val="000000"/>
          <w:spacing w:val="0"/>
          <w:kern w:val="0"/>
          <w:sz w:val="24"/>
          <w:szCs w:val="24"/>
          <w:lang w:val="en-US" w:eastAsia="zh-CN" w:bidi="ar"/>
        </w:rPr>
        <w:t>（盖章）</w:t>
      </w:r>
    </w:p>
    <w:p w14:paraId="29569EA6">
      <w:pPr>
        <w:keepNext w:val="0"/>
        <w:keepLines w:val="0"/>
        <w:widowControl/>
        <w:suppressLineNumbers w:val="0"/>
        <w:kinsoku w:val="0"/>
        <w:autoSpaceDE w:val="0"/>
        <w:autoSpaceDN/>
        <w:adjustRightInd w:val="0"/>
        <w:snapToGrid w:val="0"/>
        <w:spacing w:before="0" w:beforeAutospacing="0" w:after="0" w:afterAutospacing="0" w:line="460" w:lineRule="exact"/>
        <w:ind w:left="0" w:right="0"/>
        <w:jc w:val="left"/>
        <w:textAlignment w:val="baseline"/>
        <w:rPr>
          <w:rFonts w:hint="eastAsia" w:ascii="宋体" w:hAnsi="宋体" w:eastAsia="宋体" w:cs="宋体"/>
          <w:color w:val="000000"/>
          <w:spacing w:val="0"/>
          <w:kern w:val="0"/>
          <w:sz w:val="24"/>
          <w:szCs w:val="24"/>
        </w:rPr>
      </w:pPr>
      <w:r>
        <w:rPr>
          <w:rFonts w:hint="eastAsia" w:ascii="宋体" w:hAnsi="宋体" w:eastAsia="宋体" w:cs="宋体"/>
          <w:snapToGrid/>
          <w:color w:val="000000"/>
          <w:spacing w:val="0"/>
          <w:kern w:val="0"/>
          <w:sz w:val="24"/>
          <w:szCs w:val="24"/>
          <w:lang w:val="en-US" w:eastAsia="zh-CN" w:bidi="ar"/>
        </w:rPr>
        <w:t xml:space="preserve"> </w:t>
      </w:r>
    </w:p>
    <w:p w14:paraId="6E3E3EEB">
      <w:pPr>
        <w:keepNext w:val="0"/>
        <w:keepLines w:val="0"/>
        <w:widowControl/>
        <w:suppressLineNumbers w:val="0"/>
        <w:kinsoku w:val="0"/>
        <w:autoSpaceDE w:val="0"/>
        <w:autoSpaceDN/>
        <w:adjustRightInd w:val="0"/>
        <w:snapToGrid w:val="0"/>
        <w:spacing w:before="0" w:beforeAutospacing="0" w:after="0" w:afterAutospacing="0" w:line="460" w:lineRule="exact"/>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法定代表人或其委托代理人：（签字）     法定代表人或其委托代理人：（签字）</w:t>
      </w:r>
    </w:p>
    <w:p w14:paraId="2CD7B325">
      <w:pPr>
        <w:keepNext w:val="0"/>
        <w:keepLines w:val="0"/>
        <w:widowControl/>
        <w:suppressLineNumbers w:val="0"/>
        <w:tabs>
          <w:tab w:val="left" w:pos="943"/>
        </w:tabs>
        <w:kinsoku w:val="0"/>
        <w:autoSpaceDE w:val="0"/>
        <w:autoSpaceDN/>
        <w:adjustRightInd w:val="0"/>
        <w:snapToGrid w:val="0"/>
        <w:spacing w:before="0" w:beforeAutospacing="0" w:after="0" w:afterAutospacing="0" w:line="460" w:lineRule="exact"/>
        <w:ind w:left="0" w:right="0"/>
        <w:jc w:val="left"/>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 xml:space="preserve"> </w:t>
      </w:r>
    </w:p>
    <w:p w14:paraId="37A0D00C">
      <w:pPr>
        <w:keepNext w:val="0"/>
        <w:keepLines w:val="0"/>
        <w:widowControl/>
        <w:suppressLineNumbers w:val="0"/>
        <w:tabs>
          <w:tab w:val="left" w:pos="943"/>
        </w:tabs>
        <w:kinsoku w:val="0"/>
        <w:autoSpaceDE w:val="0"/>
        <w:autoSpaceDN/>
        <w:adjustRightInd w:val="0"/>
        <w:snapToGrid w:val="0"/>
        <w:spacing w:before="0" w:beforeAutospacing="0" w:after="0" w:afterAutospacing="0" w:line="460" w:lineRule="exact"/>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u w:val="single"/>
          <w:lang w:val="en-US" w:eastAsia="zh-CN" w:bidi="ar"/>
        </w:rPr>
        <w:tab/>
      </w:r>
      <w:r>
        <w:rPr>
          <w:rFonts w:hint="eastAsia" w:ascii="宋体" w:hAnsi="宋体" w:eastAsia="宋体" w:cs="宋体"/>
          <w:snapToGrid/>
          <w:color w:val="000000"/>
          <w:spacing w:val="0"/>
          <w:kern w:val="0"/>
          <w:sz w:val="24"/>
          <w:szCs w:val="24"/>
          <w:lang w:val="en-US" w:eastAsia="zh-CN" w:bidi="ar"/>
        </w:rPr>
        <w:t xml:space="preserve"> 年 </w:t>
      </w:r>
      <w:r>
        <w:rPr>
          <w:rFonts w:hint="eastAsia" w:ascii="宋体" w:hAnsi="宋体" w:eastAsia="宋体" w:cs="宋体"/>
          <w:snapToGrid/>
          <w:color w:val="000000"/>
          <w:spacing w:val="0"/>
          <w:kern w:val="0"/>
          <w:sz w:val="24"/>
          <w:szCs w:val="24"/>
          <w:u w:val="single"/>
          <w:lang w:val="en-US" w:eastAsia="zh-CN" w:bidi="ar"/>
        </w:rPr>
        <w:t xml:space="preserve">       </w:t>
      </w:r>
      <w:r>
        <w:rPr>
          <w:rFonts w:hint="eastAsia" w:ascii="宋体" w:hAnsi="宋体" w:eastAsia="宋体" w:cs="宋体"/>
          <w:snapToGrid/>
          <w:color w:val="000000"/>
          <w:spacing w:val="0"/>
          <w:kern w:val="0"/>
          <w:sz w:val="24"/>
          <w:szCs w:val="24"/>
          <w:lang w:val="en-US" w:eastAsia="zh-CN" w:bidi="ar"/>
        </w:rPr>
        <w:t xml:space="preserve"> 月 </w:t>
      </w:r>
      <w:r>
        <w:rPr>
          <w:rFonts w:hint="eastAsia" w:ascii="宋体" w:hAnsi="宋体" w:eastAsia="宋体" w:cs="宋体"/>
          <w:snapToGrid/>
          <w:color w:val="000000"/>
          <w:spacing w:val="0"/>
          <w:kern w:val="0"/>
          <w:sz w:val="24"/>
          <w:szCs w:val="24"/>
          <w:u w:val="single"/>
          <w:lang w:val="en-US" w:eastAsia="zh-CN" w:bidi="ar"/>
        </w:rPr>
        <w:t xml:space="preserve">       </w:t>
      </w:r>
      <w:r>
        <w:rPr>
          <w:rFonts w:hint="eastAsia" w:ascii="宋体" w:hAnsi="宋体" w:eastAsia="宋体" w:cs="宋体"/>
          <w:snapToGrid/>
          <w:color w:val="000000"/>
          <w:spacing w:val="0"/>
          <w:kern w:val="0"/>
          <w:sz w:val="24"/>
          <w:szCs w:val="24"/>
          <w:lang w:val="en-US" w:eastAsia="zh-CN" w:bidi="ar"/>
        </w:rPr>
        <w:t xml:space="preserve"> 日       </w:t>
      </w:r>
      <w:r>
        <w:rPr>
          <w:rFonts w:hint="eastAsia" w:ascii="宋体" w:hAnsi="宋体" w:eastAsia="宋体" w:cs="宋体"/>
          <w:snapToGrid/>
          <w:color w:val="000000"/>
          <w:spacing w:val="0"/>
          <w:kern w:val="0"/>
          <w:sz w:val="24"/>
          <w:szCs w:val="24"/>
          <w:u w:val="single"/>
          <w:lang w:val="en-US" w:eastAsia="zh-CN" w:bidi="ar"/>
        </w:rPr>
        <w:t xml:space="preserve">        </w:t>
      </w:r>
      <w:r>
        <w:rPr>
          <w:rFonts w:hint="eastAsia" w:ascii="宋体" w:hAnsi="宋体" w:eastAsia="宋体" w:cs="宋体"/>
          <w:snapToGrid/>
          <w:color w:val="000000"/>
          <w:spacing w:val="0"/>
          <w:kern w:val="0"/>
          <w:sz w:val="24"/>
          <w:szCs w:val="24"/>
          <w:lang w:val="en-US" w:eastAsia="zh-CN" w:bidi="ar"/>
        </w:rPr>
        <w:t xml:space="preserve"> 年 </w:t>
      </w:r>
      <w:r>
        <w:rPr>
          <w:rFonts w:hint="eastAsia" w:ascii="宋体" w:hAnsi="宋体" w:eastAsia="宋体" w:cs="宋体"/>
          <w:snapToGrid/>
          <w:color w:val="000000"/>
          <w:spacing w:val="0"/>
          <w:kern w:val="0"/>
          <w:sz w:val="24"/>
          <w:szCs w:val="24"/>
          <w:u w:val="single"/>
          <w:lang w:val="en-US" w:eastAsia="zh-CN" w:bidi="ar"/>
        </w:rPr>
        <w:t xml:space="preserve">         </w:t>
      </w:r>
      <w:r>
        <w:rPr>
          <w:rFonts w:hint="eastAsia" w:ascii="宋体" w:hAnsi="宋体" w:eastAsia="宋体" w:cs="宋体"/>
          <w:snapToGrid/>
          <w:color w:val="000000"/>
          <w:spacing w:val="0"/>
          <w:kern w:val="0"/>
          <w:sz w:val="24"/>
          <w:szCs w:val="24"/>
          <w:lang w:val="en-US" w:eastAsia="zh-CN" w:bidi="ar"/>
        </w:rPr>
        <w:t xml:space="preserve"> 月 </w:t>
      </w:r>
      <w:r>
        <w:rPr>
          <w:rFonts w:hint="eastAsia" w:ascii="宋体" w:hAnsi="宋体" w:eastAsia="宋体" w:cs="宋体"/>
          <w:snapToGrid/>
          <w:color w:val="000000"/>
          <w:spacing w:val="0"/>
          <w:kern w:val="0"/>
          <w:sz w:val="24"/>
          <w:szCs w:val="24"/>
          <w:u w:val="single"/>
          <w:lang w:val="en-US" w:eastAsia="zh-CN" w:bidi="ar"/>
        </w:rPr>
        <w:t xml:space="preserve">       </w:t>
      </w:r>
      <w:r>
        <w:rPr>
          <w:rFonts w:hint="eastAsia" w:ascii="宋体" w:hAnsi="宋体" w:eastAsia="宋体" w:cs="宋体"/>
          <w:snapToGrid/>
          <w:color w:val="000000"/>
          <w:spacing w:val="0"/>
          <w:kern w:val="0"/>
          <w:sz w:val="24"/>
          <w:szCs w:val="24"/>
          <w:lang w:val="en-US" w:eastAsia="zh-CN" w:bidi="ar"/>
        </w:rPr>
        <w:t>日</w:t>
      </w:r>
    </w:p>
    <w:p w14:paraId="42BD7E16">
      <w:pPr>
        <w:rPr>
          <w:rFonts w:hint="eastAsia" w:ascii="宋体" w:hAnsi="宋体" w:eastAsia="宋体" w:cs="宋体"/>
          <w:color w:val="000000"/>
          <w:kern w:val="0"/>
          <w:sz w:val="24"/>
          <w:szCs w:val="24"/>
        </w:rPr>
        <w:sectPr>
          <w:footerReference r:id="rId7" w:type="first"/>
          <w:headerReference r:id="rId5" w:type="default"/>
          <w:footerReference r:id="rId6" w:type="default"/>
          <w:pgSz w:w="11906" w:h="16839"/>
          <w:pgMar w:top="1440" w:right="1519" w:bottom="1440" w:left="1519" w:header="1" w:footer="1306" w:gutter="0"/>
          <w:pgNumType w:fmt="decimal"/>
          <w:cols w:space="0" w:num="1"/>
          <w:titlePg/>
          <w:rtlGutter w:val="0"/>
          <w:docGrid w:type="lines" w:linePitch="312" w:charSpace="0"/>
        </w:sectPr>
      </w:pPr>
    </w:p>
    <w:p w14:paraId="04DE0638">
      <w:pPr>
        <w:pStyle w:val="19"/>
        <w:keepNext/>
        <w:keepLines/>
        <w:widowControl w:val="0"/>
        <w:suppressLineNumbers w:val="0"/>
        <w:spacing w:before="100" w:beforeAutospacing="0" w:after="0" w:afterAutospacing="0" w:line="400" w:lineRule="exact"/>
        <w:ind w:left="0" w:right="0"/>
        <w:jc w:val="center"/>
        <w:outlineLvl w:val="1"/>
        <w:rPr>
          <w:rFonts w:hint="eastAsia" w:ascii="宋体" w:hAnsi="宋体" w:eastAsia="宋体" w:cs="宋体"/>
          <w:b/>
          <w:bCs/>
          <w:sz w:val="36"/>
          <w:szCs w:val="36"/>
        </w:rPr>
      </w:pPr>
      <w:r>
        <w:rPr>
          <w:rStyle w:val="78"/>
          <w:rFonts w:hint="eastAsia" w:ascii="宋体" w:hAnsi="宋体" w:eastAsia="宋体" w:cs="宋体"/>
          <w:b/>
          <w:bCs/>
          <w:kern w:val="2"/>
          <w:sz w:val="36"/>
          <w:szCs w:val="36"/>
          <w:lang w:val="en-US" w:eastAsia="zh-CN" w:bidi="ar"/>
        </w:rPr>
        <w:t>第一节 通用合同条款</w:t>
      </w:r>
    </w:p>
    <w:p w14:paraId="2BF23A6F">
      <w:pPr>
        <w:pStyle w:val="19"/>
        <w:keepNext w:val="0"/>
        <w:keepLines w:val="0"/>
        <w:widowControl w:val="0"/>
        <w:suppressLineNumbers w:val="0"/>
        <w:kinsoku/>
        <w:autoSpaceDE/>
        <w:autoSpaceDN/>
        <w:adjustRightInd/>
        <w:snapToGrid/>
        <w:spacing w:before="0" w:beforeAutospacing="0" w:after="0" w:afterAutospacing="0"/>
        <w:ind w:left="0" w:right="0"/>
        <w:jc w:val="center"/>
        <w:textAlignment w:val="auto"/>
        <w:rPr>
          <w:rFonts w:hint="eastAsia" w:ascii="黑体" w:hAnsi="宋体" w:eastAsia="黑体" w:cs="Times New Roman"/>
          <w:sz w:val="32"/>
          <w:szCs w:val="32"/>
        </w:rPr>
      </w:pPr>
      <w:r>
        <w:rPr>
          <w:rStyle w:val="78"/>
          <w:rFonts w:hint="eastAsia" w:ascii="黑体" w:hAnsi="宋体" w:eastAsia="黑体" w:cs="黑体"/>
          <w:color w:val="auto"/>
          <w:kern w:val="2"/>
          <w:sz w:val="32"/>
          <w:szCs w:val="32"/>
          <w:lang w:val="en-US" w:eastAsia="zh-CN" w:bidi="ar"/>
        </w:rPr>
        <w:t>通用合同条款</w:t>
      </w:r>
    </w:p>
    <w:p w14:paraId="5B57F2E8">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b/>
          <w:bCs w:val="0"/>
          <w:sz w:val="28"/>
          <w:szCs w:val="28"/>
        </w:rPr>
      </w:pPr>
      <w:bookmarkStart w:id="158" w:name="_Toc256000088"/>
      <w:bookmarkEnd w:id="158"/>
      <w:r>
        <w:rPr>
          <w:rStyle w:val="78"/>
          <w:rFonts w:hint="eastAsia" w:ascii="黑体" w:hAnsi="宋体" w:eastAsia="黑体" w:cs="黑体"/>
          <w:b/>
          <w:bCs w:val="0"/>
          <w:kern w:val="2"/>
          <w:sz w:val="28"/>
          <w:szCs w:val="28"/>
          <w:lang w:val="en-US" w:eastAsia="zh-CN" w:bidi="ar"/>
        </w:rPr>
        <w:t>1. 一般约定</w:t>
      </w:r>
    </w:p>
    <w:p w14:paraId="2EAEEF4E">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59" w:name="_Toc256000089"/>
      <w:bookmarkEnd w:id="159"/>
      <w:r>
        <w:rPr>
          <w:rStyle w:val="78"/>
          <w:rFonts w:hint="eastAsia" w:ascii="黑体" w:hAnsi="宋体" w:eastAsia="黑体" w:cs="黑体"/>
          <w:kern w:val="2"/>
          <w:sz w:val="28"/>
          <w:szCs w:val="28"/>
          <w:lang w:val="en-US" w:eastAsia="zh-CN" w:bidi="ar"/>
        </w:rPr>
        <w:t>1.1 词语定义</w:t>
      </w:r>
    </w:p>
    <w:p w14:paraId="2278D22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通用合同条款、专用合同条款中的下列词语应具有本款所赋予的含义。</w:t>
      </w:r>
    </w:p>
    <w:p w14:paraId="2C075BA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 合同</w:t>
      </w:r>
    </w:p>
    <w:p w14:paraId="20F75A1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1.1.1.1 合同文件（或称合同）：指合同协议书、中标通知书、投标函及投标函附录、专用合同条款、通用合同条款、技术标准和要求、图纸、已标价工程量清单，以及其他合同文件。</w:t>
      </w:r>
    </w:p>
    <w:p w14:paraId="1B16F7B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1.1.1.2 合同协议书：指第1.5款所指的合同协议书。</w:t>
      </w:r>
    </w:p>
    <w:p w14:paraId="3539D0C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1.1.1.3 中标通知书：指发包人通知承包人中标的函件。</w:t>
      </w:r>
    </w:p>
    <w:p w14:paraId="4962FAC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strike w:val="0"/>
          <w:dstrike/>
        </w:rPr>
      </w:pPr>
      <w:r>
        <w:rPr>
          <w:rStyle w:val="78"/>
          <w:rFonts w:hint="eastAsia" w:ascii="宋体" w:hAnsi="宋体" w:eastAsia="宋体" w:cs="宋体"/>
          <w:color w:val="auto"/>
          <w:kern w:val="2"/>
          <w:sz w:val="21"/>
          <w:szCs w:val="21"/>
          <w:lang w:val="en-US" w:eastAsia="zh-CN" w:bidi="ar"/>
        </w:rPr>
        <w:t>1.1.1.4 投标函：指构成合同文件组成部分的由承包人填写并签署的投标函。</w:t>
      </w:r>
    </w:p>
    <w:p w14:paraId="608D87B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1.1.1.5 投标函附录：指附在投标函后构成合同文件的投标函附录。</w:t>
      </w:r>
    </w:p>
    <w:p w14:paraId="57F7E7F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1.1.1.6 技术标准和要求：指构成合同文件组成部分的名为技术标准和要求的文件，包括合同双方当事人约定对其所作的修改或补充。</w:t>
      </w:r>
    </w:p>
    <w:p w14:paraId="4FF1DD7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1.1.1.7图纸：指包含在合同中的工程图纸，以及由发包人按合同约定提供的任何补充和修改的图纸，包括配套的说明。</w:t>
      </w:r>
    </w:p>
    <w:p w14:paraId="71801AA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1.1.1.8 已标价工程量清单：指构成合同文件组成部分的由承包人按照规定的格式和要求填写并标明价格的工程量清单。</w:t>
      </w:r>
    </w:p>
    <w:p w14:paraId="780522E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1.1.1.9 其他合同文件：指经合同双方当事人确认构成合同文件的其他文件。</w:t>
      </w:r>
    </w:p>
    <w:p w14:paraId="6EBDCED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1.1.2 合同当事人和人员</w:t>
      </w:r>
    </w:p>
    <w:p w14:paraId="163423F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1.1.2.1 合同当事人:指发包人和（或）承包人。</w:t>
      </w:r>
    </w:p>
    <w:p w14:paraId="700407C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1.1.2.2 发包人：指专用合同条款中指明并与承包人在合同协议书中签字的当事人。</w:t>
      </w:r>
    </w:p>
    <w:p w14:paraId="47FD282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1.1.2.3 承包人：指与发包人签订合同协议书的当事人。</w:t>
      </w:r>
    </w:p>
    <w:p w14:paraId="0932A8A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1.1.2.4 承包人项目经理：指承包人派驻施工场地的全权负责人。</w:t>
      </w:r>
    </w:p>
    <w:p w14:paraId="20E4945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1.1.2.5 分包人：指从承包人处分包合同中某一部分工程，并与其签订分包合同的分包人。</w:t>
      </w:r>
    </w:p>
    <w:p w14:paraId="0009DBC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1.1.2.6 监理人：指在专用合同条款中指明的，受发包人委托对合同履行实施管理的法人或其他组织。</w:t>
      </w:r>
    </w:p>
    <w:p w14:paraId="37BB15F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1.1.2.7 总监理工程师（总监）：指由监理人委派常驻施工场地对合同履行实施管理的全权负责人。</w:t>
      </w:r>
    </w:p>
    <w:p w14:paraId="048C966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 工程和设备</w:t>
      </w:r>
    </w:p>
    <w:p w14:paraId="0C7E4AE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1.1.3.1 工程：指永久工程和（或）临时工程。</w:t>
      </w:r>
    </w:p>
    <w:p w14:paraId="317D2ED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1.1.3.2 永久工程：指按合同约定建造并移交给发包人的工程，包括工程设备。</w:t>
      </w:r>
    </w:p>
    <w:p w14:paraId="5536653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1.1.3.3 临时工程：指为完成合同约定的永久工程所修建的各类临时性工程，不包括施工设备。</w:t>
      </w:r>
    </w:p>
    <w:p w14:paraId="0401379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1.1.3.4 单位工程：指专用合同条款中指明特定范围的永久工程。</w:t>
      </w:r>
    </w:p>
    <w:p w14:paraId="606C2A5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1.1.3.5 工程设备：指构成或计划构成永久工程一部分的机电设备、金属结构设备、仪器装置及其他类似的设备和装置。</w:t>
      </w:r>
    </w:p>
    <w:p w14:paraId="42712AD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1.1.3.6 施工设备：指为完成合同约定的各项工作所需的设备、器具和其他物品，不包括临时工程和材料。</w:t>
      </w:r>
    </w:p>
    <w:p w14:paraId="369CB70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1.1.3.7 临时设施：指为完成合同约定的各项工作所服务的临时性生产和生活设施。</w:t>
      </w:r>
    </w:p>
    <w:p w14:paraId="404D069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1.1.3.8 承包人设备：指承包人自带的施工设备。</w:t>
      </w:r>
    </w:p>
    <w:p w14:paraId="26C7047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1.1.3.9 施工场地（或称工地、现场）：指用于合同工程施工的场所，以及在合同中指定作为施工场地组成部分的其他场所，包括永久占地和临时占地。</w:t>
      </w:r>
    </w:p>
    <w:p w14:paraId="35EC19F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1.1.3.10 永久占地：指专用合同条款中指明为实施合同工程需永久占用的土地。</w:t>
      </w:r>
    </w:p>
    <w:p w14:paraId="4B60246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1.1.3.11 临时占地：指专用合同条款中指明为实施合同工程需临时占用的土地。</w:t>
      </w:r>
    </w:p>
    <w:p w14:paraId="691C747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1.1.4 日期</w:t>
      </w:r>
    </w:p>
    <w:p w14:paraId="6E60006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1.1.4.1 开工通知：指监理人按第11.1款通知承包人开工的函件。</w:t>
      </w:r>
    </w:p>
    <w:p w14:paraId="0837733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1.1.4.2 开工日期：指监理人按第11.1款发出的开工通知中写明的开工日期。</w:t>
      </w:r>
    </w:p>
    <w:p w14:paraId="3537803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1.1.4.3工期：指承包人在投标函中承诺的完成合同工程所需的期限，包括按第11.3款、第11.4款和第11.6款约定所作的变更。</w:t>
      </w:r>
    </w:p>
    <w:p w14:paraId="568EC37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1.1.4.4 竣工日期：指第1.1.4.3目约定工期届满时的日期。实际竣工日期以工程接收证书中写明的日期为准。</w:t>
      </w:r>
    </w:p>
    <w:p w14:paraId="780AD59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1.1.4.5 缺陷责任期：指履行第19.2款约定的缺陷责任的期限，具体期限由专用合同条款约定，包括根据第19.3款约定所作的延长。</w:t>
      </w:r>
    </w:p>
    <w:p w14:paraId="255F512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1.1.4.6 基准日期：指投标截止时间前28天的日期。</w:t>
      </w:r>
    </w:p>
    <w:p w14:paraId="0C6A4AF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1.1.4.7 天：除特别指明外，指日历天。合同中按天计算时间的，开始当天不计入，从次日开始计算。期限最后一天的截止时间为当天24:00。</w:t>
      </w:r>
    </w:p>
    <w:p w14:paraId="3C03F33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1.1.5 合同价格和费用</w:t>
      </w:r>
    </w:p>
    <w:p w14:paraId="7839D3B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1.1.5.1 签约合同价：指签定合同时合同协议书中写明的，包括了暂列金额、暂估价的合同总金额。</w:t>
      </w:r>
    </w:p>
    <w:p w14:paraId="7A79113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1.1.5.2 合同价格：指承包人按合同约定完成了包括缺陷责任期内的全部承包工作后，发包人应付给承包人的金额，包括在履行合同过程中按合同约定进行的变更和调整。</w:t>
      </w:r>
    </w:p>
    <w:p w14:paraId="6141BEC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1.1.5.3 费用：指为履行合同所发生的或将要发生的所有合理开支，包括管理费和应分摊的其他费用，但不包括利润。</w:t>
      </w:r>
    </w:p>
    <w:p w14:paraId="7DE04C2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1.1.5.4 暂列金额：指已标价工程量清单中所列的暂列金额，用于在签订协议书时尚未确定或不可预见变更的施工及其所需材料、工程设备、服务等的金额，包括以计日工方式支付的金额。</w:t>
      </w:r>
    </w:p>
    <w:p w14:paraId="5BE7006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1.1.5.5暂估价：指发包人在工程量清单中给定的用于支付必然发生但暂时不能确定价格的材料、设备以及专业工程的金额。</w:t>
      </w:r>
    </w:p>
    <w:p w14:paraId="624F6F3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1.1.5.6 计日工：指对零星工作采取的一种计价方式，按合同中的计日工子目及其单价计价付款。</w:t>
      </w:r>
    </w:p>
    <w:p w14:paraId="1582682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1.1.5.7 质量保证金（或称保留金）：指按第17.4.1项约定用于保证在缺陷责任期内履行缺陷修复义务的金额。</w:t>
      </w:r>
    </w:p>
    <w:p w14:paraId="00F6ADB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1.1.6 其他</w:t>
      </w:r>
    </w:p>
    <w:p w14:paraId="3B53DE3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1.1.6.1 书面形式：指合同文件、信函、电报、传真等可以有形地表现所载内容的形式。</w:t>
      </w:r>
    </w:p>
    <w:p w14:paraId="2D45FBD9">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60" w:name="_Toc256000090"/>
      <w:bookmarkEnd w:id="160"/>
      <w:r>
        <w:rPr>
          <w:rStyle w:val="78"/>
          <w:rFonts w:hint="eastAsia" w:ascii="黑体" w:hAnsi="宋体" w:eastAsia="黑体" w:cs="黑体"/>
          <w:kern w:val="2"/>
          <w:sz w:val="28"/>
          <w:szCs w:val="28"/>
          <w:lang w:val="en-US" w:eastAsia="zh-CN" w:bidi="ar"/>
        </w:rPr>
        <w:t>1.2 语言文字</w:t>
      </w:r>
    </w:p>
    <w:p w14:paraId="08E8430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除专用术语外，合同使用的语言文字为中文。必要时专用术语应附有中文注释。</w:t>
      </w:r>
    </w:p>
    <w:p w14:paraId="53391317">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61" w:name="_Toc256000091"/>
      <w:bookmarkEnd w:id="161"/>
      <w:r>
        <w:rPr>
          <w:rStyle w:val="78"/>
          <w:rFonts w:hint="eastAsia" w:ascii="黑体" w:hAnsi="宋体" w:eastAsia="黑体" w:cs="黑体"/>
          <w:kern w:val="2"/>
          <w:sz w:val="28"/>
          <w:szCs w:val="28"/>
          <w:lang w:val="en-US" w:eastAsia="zh-CN" w:bidi="ar"/>
        </w:rPr>
        <w:t>1.3 法律</w:t>
      </w:r>
    </w:p>
    <w:p w14:paraId="14EDC6E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适用于合同的法律包括中华人民共和国法律、行政法规、部门规章，以及工程所在地的地方法规、自治条例、单行条例和地方政府规章。</w:t>
      </w:r>
    </w:p>
    <w:p w14:paraId="1A81A98D">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62" w:name="_Toc256000092"/>
      <w:bookmarkEnd w:id="162"/>
      <w:r>
        <w:rPr>
          <w:rStyle w:val="78"/>
          <w:rFonts w:hint="eastAsia" w:ascii="黑体" w:hAnsi="宋体" w:eastAsia="黑体" w:cs="黑体"/>
          <w:kern w:val="2"/>
          <w:sz w:val="28"/>
          <w:szCs w:val="28"/>
          <w:lang w:val="en-US" w:eastAsia="zh-CN" w:bidi="ar"/>
        </w:rPr>
        <w:t>1.4 合同文件的优先顺序</w:t>
      </w:r>
    </w:p>
    <w:p w14:paraId="5EEF41F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组成合同的各项文件应互相解释，互为说明。除专用合同条款另有约定外，解释合同文件的优先顺序如下：</w:t>
      </w:r>
    </w:p>
    <w:p w14:paraId="1834754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（1）合同协议书；</w:t>
      </w:r>
    </w:p>
    <w:p w14:paraId="2BD4D10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（2）中标通知书；</w:t>
      </w:r>
    </w:p>
    <w:p w14:paraId="266D7D4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（3）投标函及投标函附录；</w:t>
      </w:r>
    </w:p>
    <w:p w14:paraId="08BB941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（4）专用合同条款；</w:t>
      </w:r>
    </w:p>
    <w:p w14:paraId="52DDC38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（5）通用合同条款；</w:t>
      </w:r>
    </w:p>
    <w:p w14:paraId="2ABFAA9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（6）技术标准和要求；</w:t>
      </w:r>
    </w:p>
    <w:p w14:paraId="0D9E0E2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（7）图纸；</w:t>
      </w:r>
    </w:p>
    <w:p w14:paraId="370BD51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（8）已标价工程量清单；</w:t>
      </w:r>
    </w:p>
    <w:p w14:paraId="2C6805E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（9）其他合同文件。</w:t>
      </w:r>
    </w:p>
    <w:p w14:paraId="37C6ADC7">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63" w:name="_Toc256000093"/>
      <w:bookmarkEnd w:id="163"/>
      <w:r>
        <w:rPr>
          <w:rStyle w:val="78"/>
          <w:rFonts w:hint="eastAsia" w:ascii="黑体" w:hAnsi="宋体" w:eastAsia="黑体" w:cs="黑体"/>
          <w:kern w:val="2"/>
          <w:sz w:val="28"/>
          <w:szCs w:val="28"/>
          <w:lang w:val="en-US" w:eastAsia="zh-CN" w:bidi="ar"/>
        </w:rPr>
        <w:t>1.5 合同协议书</w:t>
      </w:r>
    </w:p>
    <w:p w14:paraId="0B7822B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承包人按中标通知书规定的时间与发包人签订合同协议书。除法律另有规定或合同另有约定外，发包人和承包人的法定代表人或其委托代理人在合同协议书上签字并盖章后，合同生效。</w:t>
      </w:r>
    </w:p>
    <w:p w14:paraId="738702DF">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64" w:name="_Toc256000094"/>
      <w:bookmarkEnd w:id="164"/>
      <w:r>
        <w:rPr>
          <w:rStyle w:val="78"/>
          <w:rFonts w:hint="eastAsia" w:ascii="黑体" w:hAnsi="宋体" w:eastAsia="黑体" w:cs="黑体"/>
          <w:kern w:val="2"/>
          <w:sz w:val="28"/>
          <w:szCs w:val="28"/>
          <w:lang w:val="en-US" w:eastAsia="zh-CN" w:bidi="ar"/>
        </w:rPr>
        <w:t>1.6 图纸和承包人文件</w:t>
      </w:r>
    </w:p>
    <w:p w14:paraId="0E273CE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1.6.1图纸的提供</w:t>
      </w:r>
    </w:p>
    <w:p w14:paraId="753D0C7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除专用合同条款另有约定外，图纸应在合理的期限内按照合同约定的数量提供给承包人。由于发包人未按时提供图纸造成工期延误的，按第11.3款的约定办理。</w:t>
      </w:r>
    </w:p>
    <w:p w14:paraId="7F2CFBD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1.6.2 承包人提供的文件</w:t>
      </w:r>
    </w:p>
    <w:p w14:paraId="41589DC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  按专用合同条款约定由承包人提供的文件，包括部分工程的大样图、加工图等，承包人应按约定的数量和期限报送监理人。监理人应在专用合同条款约定的期限内批复。</w:t>
      </w:r>
    </w:p>
    <w:p w14:paraId="43C39C2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1.6.3 图纸的修改</w:t>
      </w:r>
    </w:p>
    <w:p w14:paraId="4A5BA04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图纸需要修改和补充的，应由监理人取得发包人同意后，在该工程或工程相应部位施工前的合理期限内签发图纸修改图给承包人，具体签发期限在专用合同条款中约定。承包人应按修改后的图纸施工。</w:t>
      </w:r>
      <w:r>
        <w:rPr>
          <w:rStyle w:val="78"/>
          <w:rFonts w:hint="eastAsia" w:ascii="宋体" w:hAnsi="宋体" w:eastAsia="宋体" w:cs="Times New Roman"/>
          <w:color w:val="auto"/>
          <w:kern w:val="2"/>
          <w:sz w:val="21"/>
          <w:szCs w:val="21"/>
          <w:lang w:val="en-US" w:eastAsia="zh-CN" w:bidi="ar"/>
        </w:rPr>
        <w:t xml:space="preserve"> </w:t>
      </w:r>
    </w:p>
    <w:p w14:paraId="45D49E8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1.6.4 图纸的错误</w:t>
      </w:r>
    </w:p>
    <w:p w14:paraId="20ECA37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承包人发现发包人提供的图纸存在明显错误或疏忽，应及时通知监理人。</w:t>
      </w:r>
    </w:p>
    <w:p w14:paraId="1FD9D4C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1.6.5 图纸和承包人文件的保管</w:t>
      </w:r>
    </w:p>
    <w:p w14:paraId="5409A37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监理人和承包人均应在施工场地各保存一套完整的包含第1.6.1项、第1.6.2项、第1.6.3项约定内容的图纸和承包人文件。</w:t>
      </w:r>
    </w:p>
    <w:p w14:paraId="6D466E52">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r>
        <w:rPr>
          <w:rStyle w:val="78"/>
          <w:rFonts w:hint="eastAsia" w:ascii="黑体" w:hAnsi="宋体" w:eastAsia="黑体" w:cs="黑体"/>
          <w:kern w:val="2"/>
          <w:sz w:val="28"/>
          <w:szCs w:val="28"/>
          <w:lang w:val="en-US" w:eastAsia="zh-CN" w:bidi="ar"/>
        </w:rPr>
        <w:t>1.7 联络</w:t>
      </w:r>
    </w:p>
    <w:p w14:paraId="43E8D27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1.7.1 与合同有关的通知、批准、证明、证书、指示、要求、请求、同意、意见、确定和决定等，均应采用书面形式。</w:t>
      </w:r>
    </w:p>
    <w:p w14:paraId="1B5A514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1.7.2 第1.7.1项中的通知、批准、证明、证书、指示、要求、请求、同意、意见、确定和决定等来往函件，均应在合同约定的期限内送达指定地点和接收人，并办理签收手续。</w:t>
      </w:r>
    </w:p>
    <w:p w14:paraId="3FB546A1">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65" w:name="_Toc256000096"/>
      <w:bookmarkEnd w:id="165"/>
      <w:r>
        <w:rPr>
          <w:rStyle w:val="78"/>
          <w:rFonts w:hint="eastAsia" w:ascii="黑体" w:hAnsi="宋体" w:eastAsia="黑体" w:cs="黑体"/>
          <w:kern w:val="2"/>
          <w:sz w:val="28"/>
          <w:szCs w:val="28"/>
          <w:lang w:val="en-US" w:eastAsia="zh-CN" w:bidi="ar"/>
        </w:rPr>
        <w:t>1.8 转让</w:t>
      </w:r>
    </w:p>
    <w:p w14:paraId="370E4FE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除合同另有约定外，未经对方当事人同意，一方当事人不得将合同权利全部或部分转让给第三人，也不得全部或部分转移合同义务。</w:t>
      </w:r>
    </w:p>
    <w:p w14:paraId="6CBA7A9F">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66" w:name="_Toc256000097"/>
      <w:bookmarkEnd w:id="166"/>
      <w:r>
        <w:rPr>
          <w:rStyle w:val="78"/>
          <w:rFonts w:hint="eastAsia" w:ascii="黑体" w:hAnsi="宋体" w:eastAsia="黑体" w:cs="黑体"/>
          <w:kern w:val="2"/>
          <w:sz w:val="28"/>
          <w:szCs w:val="28"/>
          <w:lang w:val="en-US" w:eastAsia="zh-CN" w:bidi="ar"/>
        </w:rPr>
        <w:t>1.9 严禁贿赂</w:t>
      </w:r>
    </w:p>
    <w:p w14:paraId="6F7B3D7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合同双方当事人不得以贿赂或变相贿赂的方式，谋取不当利益或损害对方权益。因贿赂造成对方损失的，行为人应赔偿损失，并承担相应的法律责任。</w:t>
      </w:r>
    </w:p>
    <w:p w14:paraId="0E3DEB8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67" w:name="_Toc256000098"/>
      <w:bookmarkEnd w:id="167"/>
      <w:r>
        <w:rPr>
          <w:rStyle w:val="78"/>
          <w:rFonts w:hint="eastAsia" w:ascii="黑体" w:hAnsi="宋体" w:eastAsia="黑体" w:cs="黑体"/>
          <w:kern w:val="2"/>
          <w:sz w:val="28"/>
          <w:szCs w:val="28"/>
          <w:lang w:val="en-US" w:eastAsia="zh-CN" w:bidi="ar"/>
        </w:rPr>
        <w:t>1.10 化石、文物</w:t>
      </w:r>
    </w:p>
    <w:p w14:paraId="0735A70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7833AC9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1.10.2 承包人发现文物后不及时报告或隐瞒不报，致使文物丢失或损坏的，应赔偿损失，并承担相应的法律责任。</w:t>
      </w:r>
    </w:p>
    <w:p w14:paraId="6EF108B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68" w:name="_Toc256000099"/>
      <w:bookmarkEnd w:id="168"/>
      <w:r>
        <w:rPr>
          <w:rStyle w:val="78"/>
          <w:rFonts w:hint="eastAsia" w:ascii="黑体" w:hAnsi="宋体" w:eastAsia="黑体" w:cs="黑体"/>
          <w:kern w:val="2"/>
          <w:sz w:val="28"/>
          <w:szCs w:val="28"/>
          <w:lang w:val="en-US" w:eastAsia="zh-CN" w:bidi="ar"/>
        </w:rPr>
        <w:t>1.11 专利技术</w:t>
      </w:r>
    </w:p>
    <w:p w14:paraId="0AC2598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1.11.1 承包人在使用任何材料、承包人设备、工程设备或采用施工工艺时，因侵犯专利权或其他知识产权所引起的责任，由承包人承担，但由于遵照发包人提供的设计或技术标准和要求引起的除外。</w:t>
      </w:r>
    </w:p>
    <w:p w14:paraId="25AC684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1.11.2 承包人在投标文件中采用专利技术的，专利技术的使用费包含在投标报价内。</w:t>
      </w:r>
    </w:p>
    <w:p w14:paraId="4325B79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1.11.3 承包人的技术秘密和声明需要保密的资料和信息，发包人和监理人不得为合同以外的目的泄露给他人。</w:t>
      </w:r>
    </w:p>
    <w:p w14:paraId="224820B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69" w:name="_Toc256000100"/>
      <w:bookmarkEnd w:id="169"/>
      <w:r>
        <w:rPr>
          <w:rStyle w:val="78"/>
          <w:rFonts w:hint="eastAsia" w:ascii="黑体" w:hAnsi="宋体" w:eastAsia="黑体" w:cs="黑体"/>
          <w:kern w:val="2"/>
          <w:sz w:val="28"/>
          <w:szCs w:val="28"/>
          <w:lang w:val="en-US" w:eastAsia="zh-CN" w:bidi="ar"/>
        </w:rPr>
        <w:t>1.12 图纸和文件的保密</w:t>
      </w:r>
    </w:p>
    <w:p w14:paraId="495287E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1.12.1 发包人提供的图纸和文件，未经发包人同意，承包人不得为合同以外的目的泄露给他人或公开发表与引用。</w:t>
      </w:r>
    </w:p>
    <w:p w14:paraId="6F9D26F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1.12.2 承包人提供的文件，未经承包人同意，发包人和监理人不得为合同以外的目的泄露给他人或公开发表与引用。</w:t>
      </w:r>
    </w:p>
    <w:p w14:paraId="42FEED67">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b/>
          <w:bCs w:val="0"/>
          <w:sz w:val="28"/>
          <w:szCs w:val="28"/>
        </w:rPr>
      </w:pPr>
      <w:bookmarkStart w:id="170" w:name="_Toc256000101"/>
      <w:bookmarkEnd w:id="170"/>
      <w:r>
        <w:rPr>
          <w:rStyle w:val="78"/>
          <w:rFonts w:hint="eastAsia" w:ascii="黑体" w:hAnsi="宋体" w:eastAsia="黑体" w:cs="黑体"/>
          <w:b/>
          <w:bCs w:val="0"/>
          <w:kern w:val="2"/>
          <w:sz w:val="28"/>
          <w:szCs w:val="28"/>
          <w:lang w:val="en-US" w:eastAsia="zh-CN" w:bidi="ar"/>
        </w:rPr>
        <w:t>2. 发包人义务</w:t>
      </w:r>
    </w:p>
    <w:p w14:paraId="6D234F5F">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71" w:name="_Toc256000102"/>
      <w:bookmarkEnd w:id="171"/>
      <w:r>
        <w:rPr>
          <w:rStyle w:val="78"/>
          <w:rFonts w:hint="eastAsia" w:ascii="黑体" w:hAnsi="宋体" w:eastAsia="黑体" w:cs="黑体"/>
          <w:kern w:val="2"/>
          <w:sz w:val="28"/>
          <w:szCs w:val="28"/>
          <w:lang w:val="en-US" w:eastAsia="zh-CN" w:bidi="ar"/>
        </w:rPr>
        <w:t>2.1 遵守法律</w:t>
      </w:r>
    </w:p>
    <w:p w14:paraId="59F7968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发包人在履行合同过程中应遵守法律，并保证承包人免于承担因发包人违反法律而引起的任何责任。</w:t>
      </w:r>
    </w:p>
    <w:p w14:paraId="47E7CEB8">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72" w:name="_Toc256000103"/>
      <w:bookmarkEnd w:id="172"/>
      <w:r>
        <w:rPr>
          <w:rStyle w:val="78"/>
          <w:rFonts w:hint="eastAsia" w:ascii="黑体" w:hAnsi="宋体" w:eastAsia="黑体" w:cs="黑体"/>
          <w:kern w:val="2"/>
          <w:sz w:val="28"/>
          <w:szCs w:val="28"/>
          <w:lang w:val="en-US" w:eastAsia="zh-CN" w:bidi="ar"/>
        </w:rPr>
        <w:t>2.2 发出开工通知</w:t>
      </w:r>
    </w:p>
    <w:p w14:paraId="02A49AF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发包人应委托监理人按第11.1款的约定向承包人发出开工通知。</w:t>
      </w:r>
    </w:p>
    <w:p w14:paraId="1FC0DC0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73" w:name="_Toc256000104"/>
      <w:bookmarkEnd w:id="173"/>
      <w:r>
        <w:rPr>
          <w:rStyle w:val="78"/>
          <w:rFonts w:hint="eastAsia" w:ascii="黑体" w:hAnsi="宋体" w:eastAsia="黑体" w:cs="黑体"/>
          <w:kern w:val="2"/>
          <w:sz w:val="28"/>
          <w:szCs w:val="28"/>
          <w:lang w:val="en-US" w:eastAsia="zh-CN" w:bidi="ar"/>
        </w:rPr>
        <w:t>2.3 提供施工场地</w:t>
      </w:r>
    </w:p>
    <w:p w14:paraId="10174D8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发包人应按专用合同条款约定向承包人提供施工场地，以及施工场地内地下管线和地下设施等有关资料，并保证资料的真实、准确、完整。</w:t>
      </w:r>
    </w:p>
    <w:p w14:paraId="19C5A7BB">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74" w:name="_Toc256000105"/>
      <w:bookmarkEnd w:id="174"/>
      <w:r>
        <w:rPr>
          <w:rStyle w:val="78"/>
          <w:rFonts w:hint="eastAsia" w:ascii="黑体" w:hAnsi="宋体" w:eastAsia="黑体" w:cs="黑体"/>
          <w:kern w:val="2"/>
          <w:sz w:val="28"/>
          <w:szCs w:val="28"/>
          <w:lang w:val="en-US" w:eastAsia="zh-CN" w:bidi="ar"/>
        </w:rPr>
        <w:t>2.4 协助承包人办理证件和批件</w:t>
      </w:r>
    </w:p>
    <w:p w14:paraId="01CF4B0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发包人应协助承包人办理法律规定的有关施工证件和批件。</w:t>
      </w:r>
    </w:p>
    <w:p w14:paraId="42F2AA68">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75" w:name="_Toc256000106"/>
      <w:bookmarkEnd w:id="175"/>
      <w:r>
        <w:rPr>
          <w:rStyle w:val="78"/>
          <w:rFonts w:hint="eastAsia" w:ascii="黑体" w:hAnsi="宋体" w:eastAsia="黑体" w:cs="黑体"/>
          <w:kern w:val="2"/>
          <w:sz w:val="28"/>
          <w:szCs w:val="28"/>
          <w:lang w:val="en-US" w:eastAsia="zh-CN" w:bidi="ar"/>
        </w:rPr>
        <w:t>2.5 组织设计交底</w:t>
      </w:r>
    </w:p>
    <w:p w14:paraId="04F1E31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发包人应根据合同进度计划，组织设计单位向承包人进行设计交底。</w:t>
      </w:r>
    </w:p>
    <w:p w14:paraId="10412ACD">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76" w:name="_Toc256000107"/>
      <w:bookmarkEnd w:id="176"/>
      <w:r>
        <w:rPr>
          <w:rStyle w:val="78"/>
          <w:rFonts w:hint="eastAsia" w:ascii="黑体" w:hAnsi="宋体" w:eastAsia="黑体" w:cs="黑体"/>
          <w:kern w:val="2"/>
          <w:sz w:val="28"/>
          <w:szCs w:val="28"/>
          <w:lang w:val="en-US" w:eastAsia="zh-CN" w:bidi="ar"/>
        </w:rPr>
        <w:t>2.6 支付合同价款</w:t>
      </w:r>
    </w:p>
    <w:p w14:paraId="5A3D3F3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发包人应按合同约定向承包人及时支付合同价款。</w:t>
      </w:r>
    </w:p>
    <w:p w14:paraId="63B2D83D">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77" w:name="_Toc256000108"/>
      <w:bookmarkEnd w:id="177"/>
      <w:r>
        <w:rPr>
          <w:rStyle w:val="78"/>
          <w:rFonts w:hint="eastAsia" w:ascii="黑体" w:hAnsi="宋体" w:eastAsia="黑体" w:cs="黑体"/>
          <w:kern w:val="2"/>
          <w:sz w:val="28"/>
          <w:szCs w:val="28"/>
          <w:lang w:val="en-US" w:eastAsia="zh-CN" w:bidi="ar"/>
        </w:rPr>
        <w:t>2.7 组织竣工验收</w:t>
      </w:r>
    </w:p>
    <w:p w14:paraId="3CF7A89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发包人应按合同约定及时组织竣工验收。</w:t>
      </w:r>
    </w:p>
    <w:p w14:paraId="54DB427B">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78" w:name="_Toc256000109"/>
      <w:bookmarkEnd w:id="178"/>
      <w:r>
        <w:rPr>
          <w:rStyle w:val="78"/>
          <w:rFonts w:hint="eastAsia" w:ascii="黑体" w:hAnsi="宋体" w:eastAsia="黑体" w:cs="黑体"/>
          <w:kern w:val="2"/>
          <w:sz w:val="28"/>
          <w:szCs w:val="28"/>
          <w:lang w:val="en-US" w:eastAsia="zh-CN" w:bidi="ar"/>
        </w:rPr>
        <w:t>2.8 其他义务</w:t>
      </w:r>
    </w:p>
    <w:p w14:paraId="2E35BA7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发包人应履行合同约定的其他义务。</w:t>
      </w:r>
    </w:p>
    <w:p w14:paraId="4AE2DE3D">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b/>
          <w:bCs w:val="0"/>
          <w:sz w:val="28"/>
          <w:szCs w:val="28"/>
        </w:rPr>
      </w:pPr>
      <w:bookmarkStart w:id="179" w:name="_Toc256000110"/>
      <w:bookmarkEnd w:id="179"/>
      <w:r>
        <w:rPr>
          <w:rStyle w:val="78"/>
          <w:rFonts w:hint="eastAsia" w:ascii="黑体" w:hAnsi="宋体" w:eastAsia="黑体" w:cs="黑体"/>
          <w:b/>
          <w:bCs w:val="0"/>
          <w:kern w:val="2"/>
          <w:sz w:val="28"/>
          <w:szCs w:val="28"/>
          <w:lang w:val="en-US" w:eastAsia="zh-CN" w:bidi="ar"/>
        </w:rPr>
        <w:t>3. 监理人</w:t>
      </w:r>
    </w:p>
    <w:p w14:paraId="3FB38E5E">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80" w:name="_Toc256000111"/>
      <w:bookmarkEnd w:id="180"/>
      <w:r>
        <w:rPr>
          <w:rStyle w:val="78"/>
          <w:rFonts w:hint="eastAsia" w:ascii="黑体" w:hAnsi="宋体" w:eastAsia="黑体" w:cs="黑体"/>
          <w:kern w:val="2"/>
          <w:sz w:val="28"/>
          <w:szCs w:val="28"/>
          <w:lang w:val="en-US" w:eastAsia="zh-CN" w:bidi="ar"/>
        </w:rPr>
        <w:t>3.1 监理人的职责和权力</w:t>
      </w:r>
    </w:p>
    <w:p w14:paraId="3112E71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3.1.1 监理人受发包人委托，享有合同约定的权力。监理人在行使某项权力前需要经发包人事先批准而通用合同条款没有指明的，应在专用合同条款中指明。</w:t>
      </w:r>
    </w:p>
    <w:p w14:paraId="3DFA570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3.1.2 监理人发出的任何指示应视为已得到发包人的批准，但监理人无权免除或变更合同约定的发包人和承包人的权利、义务和责任。</w:t>
      </w:r>
    </w:p>
    <w:p w14:paraId="2A69D71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3.1.3 合同约定应由承包人承担的义务和责任，不因监理人对承包人提交文件的审查或批准，对工程、材料和设备的检查和检验，以及为实施监理作出的指示等职务行为而减轻或解除。</w:t>
      </w:r>
    </w:p>
    <w:p w14:paraId="37E4A197">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81" w:name="_Toc256000112"/>
      <w:bookmarkEnd w:id="181"/>
      <w:r>
        <w:rPr>
          <w:rStyle w:val="78"/>
          <w:rFonts w:hint="eastAsia" w:ascii="黑体" w:hAnsi="宋体" w:eastAsia="黑体" w:cs="黑体"/>
          <w:kern w:val="2"/>
          <w:sz w:val="28"/>
          <w:szCs w:val="28"/>
          <w:lang w:val="en-US" w:eastAsia="zh-CN" w:bidi="ar"/>
        </w:rPr>
        <w:t>3.2 总监理工程师</w:t>
      </w:r>
    </w:p>
    <w:p w14:paraId="1CCFAAF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发包人应在发出开工通知前将总监理工程师的任命通知承包人。总监理工程师更换时，应在调离14天前通知承包人。总监理工程师短期离开施工场地的，应委派代表代行其职责，并通知承包人。</w:t>
      </w:r>
    </w:p>
    <w:p w14:paraId="45902219">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82" w:name="_Toc256000113"/>
      <w:bookmarkEnd w:id="182"/>
      <w:r>
        <w:rPr>
          <w:rStyle w:val="78"/>
          <w:rFonts w:hint="eastAsia" w:ascii="黑体" w:hAnsi="宋体" w:eastAsia="黑体" w:cs="黑体"/>
          <w:kern w:val="2"/>
          <w:sz w:val="28"/>
          <w:szCs w:val="28"/>
          <w:lang w:val="en-US" w:eastAsia="zh-CN" w:bidi="ar"/>
        </w:rPr>
        <w:t>3.3 监理人员</w:t>
      </w:r>
    </w:p>
    <w:p w14:paraId="3C40552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021858D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3.3.2 监理人员对承包人的任何工作、工程或其采用的材料和工程设备未在约定的或合理的期限内提出否定意见的，视为已获批准，但不影响监理人在以后拒绝该项工作、工程、材料或工程设备的权利。</w:t>
      </w:r>
    </w:p>
    <w:p w14:paraId="325D0AD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3.3.3 承包人对总监理工程师授权的监理人员发出的指示有疑问的，可向总监理工程师提出书面异议，总监理工程师应在48小时内对该指示予以确认、更改或撤销。</w:t>
      </w:r>
    </w:p>
    <w:p w14:paraId="721C117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3.3.4 除专用合同条款另有约定外，总监理工程师不应将第3.5款约定应由总监理工程师作出确定的权力授权或委托给其他监理人员。</w:t>
      </w:r>
    </w:p>
    <w:p w14:paraId="479108EA">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83" w:name="_Toc256000114"/>
      <w:bookmarkEnd w:id="183"/>
      <w:r>
        <w:rPr>
          <w:rStyle w:val="78"/>
          <w:rFonts w:hint="eastAsia" w:ascii="黑体" w:hAnsi="宋体" w:eastAsia="黑体" w:cs="黑体"/>
          <w:kern w:val="2"/>
          <w:sz w:val="28"/>
          <w:szCs w:val="28"/>
          <w:lang w:val="en-US" w:eastAsia="zh-CN" w:bidi="ar"/>
        </w:rPr>
        <w:t>3.4 监理人的指示</w:t>
      </w:r>
    </w:p>
    <w:p w14:paraId="0ED10B0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3.4.1 监理人应按第3.1款的约定向承包人发出指示，监理人的指示应盖有监理人授权的施工场地机构章，并由总监理工程师或总监理工程师按第3.3.1项约定授权的监理人员签字。</w:t>
      </w:r>
    </w:p>
    <w:p w14:paraId="27471C6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3.4.2 承包人收到监理人按第3.4.1项作出的指示后应遵照执行。指示构成变更的，应按第15条处理。</w:t>
      </w:r>
    </w:p>
    <w:p w14:paraId="7EC48A2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241CA38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3.4.4 除合同另有约定外，承包人只从总监理工程师或按第3.3.1项被授权的监理人员处取得指示。</w:t>
      </w:r>
    </w:p>
    <w:p w14:paraId="27DF5F5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3.4.5 由于监理人未能按合同约定发出指示、指示延误或指示错误而导致承包人费用增加和（或）工期延误的，由发包人承担赔偿责任。 </w:t>
      </w:r>
    </w:p>
    <w:p w14:paraId="2E2A58C0">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84" w:name="_Toc256000115"/>
      <w:bookmarkEnd w:id="184"/>
      <w:r>
        <w:rPr>
          <w:rStyle w:val="78"/>
          <w:rFonts w:hint="eastAsia" w:ascii="黑体" w:hAnsi="宋体" w:eastAsia="黑体" w:cs="黑体"/>
          <w:kern w:val="2"/>
          <w:sz w:val="28"/>
          <w:szCs w:val="28"/>
          <w:lang w:val="en-US" w:eastAsia="zh-CN" w:bidi="ar"/>
        </w:rPr>
        <w:t>3.5 商定或确定</w:t>
      </w:r>
    </w:p>
    <w:p w14:paraId="153D041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3.5.1合同约定总监理工程师应按照本款对任何事项进行商定或确定时，总监理工程师应与合同当事人协商，尽量达成一致。不能达成一致的，总监理工程师应认真研究后审慎确定。</w:t>
      </w:r>
    </w:p>
    <w:p w14:paraId="6DA7E39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27D2987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default" w:ascii="黑体" w:hAnsi="宋体" w:cs="Arial"/>
          <w:b/>
          <w:bCs w:val="0"/>
          <w:sz w:val="28"/>
          <w:szCs w:val="28"/>
        </w:rPr>
      </w:pPr>
      <w:bookmarkStart w:id="185" w:name="_Toc256000116"/>
      <w:bookmarkEnd w:id="185"/>
      <w:r>
        <w:rPr>
          <w:rStyle w:val="78"/>
          <w:rFonts w:hint="eastAsia" w:ascii="黑体" w:hAnsi="宋体" w:eastAsia="黑体" w:cs="黑体"/>
          <w:b/>
          <w:bCs w:val="0"/>
          <w:kern w:val="2"/>
          <w:sz w:val="28"/>
          <w:szCs w:val="28"/>
          <w:lang w:val="en-US" w:eastAsia="zh-CN" w:bidi="ar"/>
        </w:rPr>
        <w:t xml:space="preserve">4. </w:t>
      </w:r>
      <w:r>
        <w:rPr>
          <w:rStyle w:val="78"/>
          <w:rFonts w:hint="default" w:ascii="Arial" w:hAnsi="Arial" w:eastAsia="黑体" w:cs="Arial"/>
          <w:b/>
          <w:bCs w:val="0"/>
          <w:kern w:val="2"/>
          <w:sz w:val="28"/>
          <w:szCs w:val="28"/>
          <w:lang w:val="en-US" w:eastAsia="zh-CN" w:bidi="ar"/>
        </w:rPr>
        <w:t>承包人</w:t>
      </w:r>
    </w:p>
    <w:p w14:paraId="033855F8">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86" w:name="_Toc256000117"/>
      <w:bookmarkEnd w:id="186"/>
      <w:r>
        <w:rPr>
          <w:rStyle w:val="78"/>
          <w:rFonts w:hint="eastAsia" w:ascii="黑体" w:hAnsi="宋体" w:eastAsia="黑体" w:cs="黑体"/>
          <w:kern w:val="2"/>
          <w:sz w:val="28"/>
          <w:szCs w:val="28"/>
          <w:lang w:val="en-US" w:eastAsia="zh-CN" w:bidi="ar"/>
        </w:rPr>
        <w:t>4.1 承包人的一般义务</w:t>
      </w:r>
    </w:p>
    <w:p w14:paraId="0746ED7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4.1.1 遵守法律</w:t>
      </w:r>
    </w:p>
    <w:p w14:paraId="25741D4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承包人在履行合同过程中应遵守法律，并保证发包人免于承担因承包人违反法律而引起的任何责任。</w:t>
      </w:r>
    </w:p>
    <w:p w14:paraId="3FB72C7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4.1.2 依法纳税</w:t>
      </w:r>
    </w:p>
    <w:p w14:paraId="17D40C3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承包人应按有关法律规定纳税，应缴纳的税金包括在合同价格内。</w:t>
      </w:r>
    </w:p>
    <w:p w14:paraId="1FB2DD0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4.1.3 完成各项承包工作</w:t>
      </w:r>
    </w:p>
    <w:p w14:paraId="78C6DFE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按合同约定以及监理人根据第3.4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61130FA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4.1.4 对施工作业和施工方法的完备性负责</w:t>
      </w:r>
    </w:p>
    <w:p w14:paraId="2FA25B3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承包人应按合同约定的工作内容和施工进度要求，编制施工组织设计和施工措施计划，并对所有施工作业和施工方法的完备性和安全可靠性负责。</w:t>
      </w:r>
    </w:p>
    <w:p w14:paraId="666B715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4.1.5 保证工程施工和人员的安全</w:t>
      </w:r>
    </w:p>
    <w:p w14:paraId="03F2FCC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承包人应按第9.2款约定采取施工安全措施，确保工程及其人员、材料、设备和设施的安全，防止因工程施工造成的人身伤害和财产损失。</w:t>
      </w:r>
    </w:p>
    <w:p w14:paraId="4A05CC8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4.1.6 负责施工场地及其周边环境与生态的保护工作</w:t>
      </w:r>
    </w:p>
    <w:p w14:paraId="3154F25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承包人应按照第9.4款约定负责施工场地及其周边环境与生态的保护工作。</w:t>
      </w:r>
    </w:p>
    <w:p w14:paraId="5D05E01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4.1.7 避免施工对公众与他人的利益造成损害</w:t>
      </w:r>
    </w:p>
    <w:p w14:paraId="3A76657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C254D4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4.1.8 为他人提供方便</w:t>
      </w:r>
    </w:p>
    <w:p w14:paraId="4708E54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承包人应按监理人的指示为他人在施工场地或附近实施与工程有关的其他各项工作提供可能的条件。除合同另有约定外，提供有关条件的内容和可能发生的费用，由监理人按第3.5款商定或确定。</w:t>
      </w:r>
    </w:p>
    <w:p w14:paraId="599EA73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4.1.9 工程的维护和照管</w:t>
      </w:r>
    </w:p>
    <w:p w14:paraId="4455E8C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工程接收证书颁发前，承包人应负责照管和维护工程。工程接收证书颁发时尚有部分未竣工工程的，承包人还应负责该未竣工工程的照管和维护工作，直至竣工后移交给发包人为止。</w:t>
      </w:r>
    </w:p>
    <w:p w14:paraId="182FE8B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4.1.10 其他义务</w:t>
      </w:r>
    </w:p>
    <w:p w14:paraId="6639762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承包人应履行合同约定的其他义务。</w:t>
      </w:r>
    </w:p>
    <w:p w14:paraId="3E36AC02">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87" w:name="_Toc256000118"/>
      <w:bookmarkEnd w:id="187"/>
      <w:r>
        <w:rPr>
          <w:rStyle w:val="78"/>
          <w:rFonts w:hint="eastAsia" w:ascii="黑体" w:hAnsi="宋体" w:eastAsia="黑体" w:cs="黑体"/>
          <w:kern w:val="2"/>
          <w:sz w:val="28"/>
          <w:szCs w:val="28"/>
          <w:lang w:val="en-US" w:eastAsia="zh-CN" w:bidi="ar"/>
        </w:rPr>
        <w:t>4.2 履约担保</w:t>
      </w:r>
    </w:p>
    <w:p w14:paraId="181C2DF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承包人应保证其履约担保在发包人颁发工程接收证书前一直有效。发包人应在工程接收证书颁发后28天内把履约担保退还给承包人。</w:t>
      </w:r>
    </w:p>
    <w:p w14:paraId="25CAE08D">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val="0"/>
          <w:bCs w:val="0"/>
          <w:sz w:val="28"/>
          <w:szCs w:val="28"/>
        </w:rPr>
      </w:pPr>
      <w:bookmarkStart w:id="188" w:name="_Toc256000119"/>
      <w:bookmarkEnd w:id="188"/>
      <w:r>
        <w:rPr>
          <w:rStyle w:val="78"/>
          <w:rFonts w:hint="eastAsia" w:ascii="黑体" w:hAnsi="宋体" w:eastAsia="黑体" w:cs="黑体"/>
          <w:b w:val="0"/>
          <w:bCs w:val="0"/>
          <w:kern w:val="2"/>
          <w:sz w:val="28"/>
          <w:szCs w:val="28"/>
          <w:lang w:val="en-US" w:eastAsia="zh-CN" w:bidi="ar"/>
        </w:rPr>
        <w:t>4.3 分包</w:t>
      </w:r>
    </w:p>
    <w:p w14:paraId="111AD52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4.3.1 承包人不得将其承包的全部工程转包给第三人，或将其承包的全部工程肢解后以分包的名义转包给第三人。</w:t>
      </w:r>
    </w:p>
    <w:p w14:paraId="644D39F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4.3.2 承包人不得将工程主体、关键性工作分包给第三人。除专用合同条款另有约定外，未经发包人同意，承包人不得将工程的其他部分或工作分包给第三人。</w:t>
      </w:r>
    </w:p>
    <w:p w14:paraId="2E7FE0E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4.3.3 分包人的资格能力应与其分包工程的标准和规模相适应。</w:t>
      </w:r>
    </w:p>
    <w:p w14:paraId="4AC443A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4.3.4 按投标函附录约定分包工程的，承包人应向发包人和监理人提交分包合同副本。</w:t>
      </w:r>
    </w:p>
    <w:p w14:paraId="1DC4354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4.3.5 承包人应与分包人就分包工程向发包人承担连带责任。</w:t>
      </w:r>
    </w:p>
    <w:p w14:paraId="101C694C">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89" w:name="_Toc256000120"/>
      <w:bookmarkEnd w:id="189"/>
      <w:r>
        <w:rPr>
          <w:rStyle w:val="78"/>
          <w:rFonts w:hint="eastAsia" w:ascii="黑体" w:hAnsi="宋体" w:eastAsia="黑体" w:cs="黑体"/>
          <w:kern w:val="2"/>
          <w:sz w:val="28"/>
          <w:szCs w:val="28"/>
          <w:lang w:val="en-US" w:eastAsia="zh-CN" w:bidi="ar"/>
        </w:rPr>
        <w:t>4.4 联合体</w:t>
      </w:r>
    </w:p>
    <w:p w14:paraId="0F57C79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4.4.1 联合体各方应共同与发包人签订合同协议书。联合体各方应为履行合同承担连带责任。</w:t>
      </w:r>
    </w:p>
    <w:p w14:paraId="0291493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4.4.2 联合体协议经发包人确认后作为合同附件。在履行合同过程中，未经发包人同意，不得修改联合体协议。</w:t>
      </w:r>
    </w:p>
    <w:p w14:paraId="49E43D8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4.4.3 联合体牵头人负责与发包人和监理人联系，并接受指示，负责组织联合体各成员全面履行合同。</w:t>
      </w:r>
    </w:p>
    <w:p w14:paraId="0FF5E44D">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90" w:name="_Toc256000121"/>
      <w:bookmarkEnd w:id="190"/>
      <w:r>
        <w:rPr>
          <w:rStyle w:val="78"/>
          <w:rFonts w:hint="eastAsia" w:ascii="黑体" w:hAnsi="宋体" w:eastAsia="黑体" w:cs="黑体"/>
          <w:kern w:val="2"/>
          <w:sz w:val="28"/>
          <w:szCs w:val="28"/>
          <w:lang w:val="en-US" w:eastAsia="zh-CN" w:bidi="ar"/>
        </w:rPr>
        <w:t>4.5 承包人项目经理</w:t>
      </w:r>
    </w:p>
    <w:p w14:paraId="48078C1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43D68FA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4.5.2 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14:paraId="24BEF45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4.5.3承包人为履行合同发出的一切函件均应盖有承包人授权的施工场地管理机构章，并由承包人项目经理或其授权代表签字。</w:t>
      </w:r>
    </w:p>
    <w:p w14:paraId="752DA24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4.5.4 承包人项目经理可以授权其下属人员履行其某项职责，但事先应将这些人员的姓名和授权范围通知监理人。</w:t>
      </w:r>
    </w:p>
    <w:p w14:paraId="2D2C5CFA">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color w:val="0000FF"/>
          <w:sz w:val="28"/>
          <w:szCs w:val="28"/>
        </w:rPr>
      </w:pPr>
      <w:bookmarkStart w:id="191" w:name="_Toc256000122"/>
      <w:bookmarkEnd w:id="191"/>
      <w:r>
        <w:rPr>
          <w:rStyle w:val="78"/>
          <w:rFonts w:hint="eastAsia" w:ascii="黑体" w:hAnsi="宋体" w:eastAsia="黑体" w:cs="黑体"/>
          <w:kern w:val="2"/>
          <w:sz w:val="28"/>
          <w:szCs w:val="28"/>
          <w:lang w:val="en-US" w:eastAsia="zh-CN" w:bidi="ar"/>
        </w:rPr>
        <w:t>4.6 承包人人员的管理</w:t>
      </w:r>
    </w:p>
    <w:p w14:paraId="45F9793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16D92B2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4.6.2 为完成合同约定的各项工作，承包人应向施工场地派遣或雇佣足够数量的下列人员：</w:t>
      </w:r>
    </w:p>
    <w:p w14:paraId="19C1B7E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（1）具有相应资格的专业技工和合格的普工；</w:t>
      </w:r>
    </w:p>
    <w:p w14:paraId="75F0985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（2）具有相应施工经验的技术人员；</w:t>
      </w:r>
    </w:p>
    <w:p w14:paraId="0B247C5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（3）具有相应岗位资格的各级管理人员。</w:t>
      </w:r>
    </w:p>
    <w:p w14:paraId="2DF8AD4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4.6.3 承包人安排在施工场地的主要管理人员和技术骨干应相对稳定。承包人更换主要管理人员和技术骨干时，应取得监理人的同意。</w:t>
      </w:r>
    </w:p>
    <w:p w14:paraId="0D7C99E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4.6.4 特殊岗位的工作人员均应持有相应的资格证明，监理人有权随时检查。监理人认为有必要时，可进行现场考核。</w:t>
      </w:r>
    </w:p>
    <w:p w14:paraId="6F502429">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92" w:name="_Toc256000123"/>
      <w:bookmarkEnd w:id="192"/>
      <w:r>
        <w:rPr>
          <w:rStyle w:val="78"/>
          <w:rFonts w:hint="eastAsia" w:ascii="黑体" w:hAnsi="宋体" w:eastAsia="黑体" w:cs="黑体"/>
          <w:kern w:val="2"/>
          <w:sz w:val="28"/>
          <w:szCs w:val="28"/>
          <w:lang w:val="en-US" w:eastAsia="zh-CN" w:bidi="ar"/>
        </w:rPr>
        <w:t>4.7 撤换承包人项目经理和其他人员</w:t>
      </w:r>
    </w:p>
    <w:p w14:paraId="3348A61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承包人应对其项目经理和其他人员进行有效管理。监理人要求撤换不能胜任本职工作、行为不端或玩忽职守的承包人项目经理和其他人员的，承包人应予以撤换。</w:t>
      </w:r>
    </w:p>
    <w:p w14:paraId="35A006F8">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93" w:name="_Toc256000124"/>
      <w:bookmarkEnd w:id="193"/>
      <w:r>
        <w:rPr>
          <w:rStyle w:val="78"/>
          <w:rFonts w:hint="eastAsia" w:ascii="黑体" w:hAnsi="宋体" w:eastAsia="黑体" w:cs="黑体"/>
          <w:kern w:val="2"/>
          <w:sz w:val="28"/>
          <w:szCs w:val="28"/>
          <w:lang w:val="en-US" w:eastAsia="zh-CN" w:bidi="ar"/>
        </w:rPr>
        <w:t>4.8 保障承包人人员的合法权益</w:t>
      </w:r>
    </w:p>
    <w:p w14:paraId="1E40F5D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4.8.1 承包人应与其雇佣的人员签订劳动合同，并按时发放工资。</w:t>
      </w:r>
    </w:p>
    <w:p w14:paraId="0D08DA9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4.8.2 承包人应按劳动法的规定安排工作时间，保证其雇佣人员享有休息和休假的权利。因工程施工的特殊需要占用休假日或延长工作时间的，应不超过法律规定的限度，并按法律规定给予补休或付酬。</w:t>
      </w:r>
    </w:p>
    <w:p w14:paraId="4A87B7C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4.8.3 承包人应为其雇佣人员提供必要的食宿条件，以及符合环境保护和卫生要求的生活环境，在远离城镇的施工场地，还应配备必要的伤病防治和急救的医务人员与医疗设施。</w:t>
      </w:r>
    </w:p>
    <w:p w14:paraId="2643CF5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00FE98F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4.8.5 承包人应按有关法律规定和合同约定，为其雇佣人员办理保险。</w:t>
      </w:r>
    </w:p>
    <w:p w14:paraId="7FCFE22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4.8.6 承包人应负责处理其雇佣人员因工伤亡事故的善后事宜。</w:t>
      </w:r>
    </w:p>
    <w:p w14:paraId="7796F162">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94" w:name="_Toc256000125"/>
      <w:bookmarkEnd w:id="194"/>
      <w:r>
        <w:rPr>
          <w:rStyle w:val="78"/>
          <w:rFonts w:hint="eastAsia" w:ascii="黑体" w:hAnsi="宋体" w:eastAsia="黑体" w:cs="黑体"/>
          <w:kern w:val="2"/>
          <w:sz w:val="28"/>
          <w:szCs w:val="28"/>
          <w:lang w:val="en-US" w:eastAsia="zh-CN" w:bidi="ar"/>
        </w:rPr>
        <w:t>4.9 工程价款应专款专用</w:t>
      </w:r>
    </w:p>
    <w:p w14:paraId="626D712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发包人按合同约定支付给承包人的各项价款应专用于合同工程。</w:t>
      </w:r>
    </w:p>
    <w:p w14:paraId="373D2BF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95" w:name="_Toc256000126"/>
      <w:bookmarkEnd w:id="195"/>
      <w:r>
        <w:rPr>
          <w:rStyle w:val="78"/>
          <w:rFonts w:hint="eastAsia" w:ascii="黑体" w:hAnsi="宋体" w:eastAsia="黑体" w:cs="黑体"/>
          <w:kern w:val="2"/>
          <w:sz w:val="28"/>
          <w:szCs w:val="28"/>
          <w:lang w:val="en-US" w:eastAsia="zh-CN" w:bidi="ar"/>
        </w:rPr>
        <w:t>4.10 承包人现场查勘</w:t>
      </w:r>
      <w:r>
        <w:rPr>
          <w:rStyle w:val="78"/>
          <w:rFonts w:hint="eastAsia" w:ascii="黑体" w:hAnsi="宋体" w:eastAsia="黑体" w:cs="宋体"/>
          <w:kern w:val="2"/>
          <w:sz w:val="28"/>
          <w:szCs w:val="28"/>
          <w:lang w:val="en-US" w:eastAsia="zh-CN" w:bidi="ar"/>
        </w:rPr>
        <w:t xml:space="preserve">                                                                                                           </w:t>
      </w:r>
    </w:p>
    <w:p w14:paraId="5DA7693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4.10.1 发包人应将其持有的现场地质勘探资料、水文气象资料提供给承包人，并对其准确性负责。但承包人应对其阅读上述有关资料后所作出的解释和推断负责。</w:t>
      </w:r>
    </w:p>
    <w:p w14:paraId="67D250B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0C50879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96" w:name="_Toc256000127"/>
      <w:bookmarkEnd w:id="196"/>
      <w:r>
        <w:rPr>
          <w:rStyle w:val="78"/>
          <w:rFonts w:hint="eastAsia" w:ascii="黑体" w:hAnsi="宋体" w:eastAsia="黑体" w:cs="黑体"/>
          <w:kern w:val="2"/>
          <w:sz w:val="28"/>
          <w:szCs w:val="28"/>
          <w:lang w:val="en-US" w:eastAsia="zh-CN" w:bidi="ar"/>
        </w:rPr>
        <w:t>4.11 不利物质条件</w:t>
      </w:r>
    </w:p>
    <w:p w14:paraId="4EBE052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4.11.1 不利物质条件，除专用合同条款另有约定外，是指承包人在施工场地遇到的不可预见的自然物质条件、非自然的物质障碍和污染物，包括地下和水文条件，但不包括气候条件。</w:t>
      </w:r>
    </w:p>
    <w:p w14:paraId="522AA02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4.11.2 承包人遇到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20B8090C">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b/>
          <w:bCs w:val="0"/>
          <w:sz w:val="28"/>
          <w:szCs w:val="28"/>
        </w:rPr>
      </w:pPr>
      <w:bookmarkStart w:id="197" w:name="_Toc256000128"/>
      <w:bookmarkEnd w:id="197"/>
      <w:r>
        <w:rPr>
          <w:rStyle w:val="78"/>
          <w:rFonts w:hint="eastAsia" w:ascii="黑体" w:hAnsi="宋体" w:eastAsia="黑体" w:cs="黑体"/>
          <w:b/>
          <w:bCs w:val="0"/>
          <w:kern w:val="2"/>
          <w:sz w:val="28"/>
          <w:szCs w:val="28"/>
          <w:lang w:val="en-US" w:eastAsia="zh-CN" w:bidi="ar"/>
        </w:rPr>
        <w:t>5. 材料和工程设备</w:t>
      </w:r>
    </w:p>
    <w:p w14:paraId="70B44F2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98" w:name="_Toc256000129"/>
      <w:bookmarkEnd w:id="198"/>
      <w:r>
        <w:rPr>
          <w:rStyle w:val="78"/>
          <w:rFonts w:hint="eastAsia" w:ascii="黑体" w:hAnsi="宋体" w:eastAsia="黑体" w:cs="黑体"/>
          <w:kern w:val="2"/>
          <w:sz w:val="28"/>
          <w:szCs w:val="28"/>
          <w:lang w:val="en-US" w:eastAsia="zh-CN" w:bidi="ar"/>
        </w:rPr>
        <w:t>5.1 承包人提供的材料和工程设备</w:t>
      </w:r>
    </w:p>
    <w:p w14:paraId="451CF7E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5.1.1 除专用合同条款另有约定外，承包人提供的材料和工程设备均由承包人负责采购、运输和保管。承包人应对其采购的材料和工程设备负责。</w:t>
      </w:r>
    </w:p>
    <w:p w14:paraId="3C9F58C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2D9A5E9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730A3210">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r>
        <w:rPr>
          <w:rStyle w:val="78"/>
          <w:rFonts w:hint="eastAsia" w:ascii="黑体" w:hAnsi="宋体" w:eastAsia="黑体" w:cs="黑体"/>
          <w:kern w:val="2"/>
          <w:sz w:val="28"/>
          <w:szCs w:val="28"/>
          <w:lang w:val="en-US" w:eastAsia="zh-CN" w:bidi="ar"/>
        </w:rPr>
        <w:t>5.2 发包人提供的材料和工程设备</w:t>
      </w:r>
    </w:p>
    <w:p w14:paraId="16D020A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5.2.1 发包人提供的材料和工程设备，应在专用合同条款中写明材料和工程设备的名称、规格、数量、价格、交货方式、交货地点和计划交货日期等。</w:t>
      </w:r>
    </w:p>
    <w:p w14:paraId="62DADC2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5.2.2 承包人应根据合同进度计划的安排，向监理人报送要求发包人交货的日期计划。发包人应按照监理人与合同双方当事人商定的交货日期，向承包人提交材料和工程设备。</w:t>
      </w:r>
    </w:p>
    <w:p w14:paraId="096C56F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5.2.3 发包人应在材料和工程设备到货7天前通知承包人，承包人应会同监理人在约定的时间内，赴交货地点共同进行验收。除专用合同条款另有约定外，发包人提供的材料和工程设备验收后，由承包人负责接收、运输和保管。</w:t>
      </w:r>
    </w:p>
    <w:p w14:paraId="4153139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5.2.4 发包人要求向承包人提前交货的，承包人不得拒绝，但发包人应承担承包人由此增加的费用。 </w:t>
      </w:r>
    </w:p>
    <w:p w14:paraId="3911791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5.2.5 承包人要求更改交货日期或地点的，应事先报请监理人批准。由于承包人要求更改交货时间或地点所增加的费用和（或）工期延误由承包人承担。 </w:t>
      </w:r>
    </w:p>
    <w:p w14:paraId="701919C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196C41A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199" w:name="_Toc256000131"/>
      <w:bookmarkEnd w:id="199"/>
      <w:r>
        <w:rPr>
          <w:rStyle w:val="78"/>
          <w:rFonts w:hint="eastAsia" w:ascii="黑体" w:hAnsi="宋体" w:eastAsia="黑体" w:cs="黑体"/>
          <w:kern w:val="2"/>
          <w:sz w:val="28"/>
          <w:szCs w:val="28"/>
          <w:lang w:val="en-US" w:eastAsia="zh-CN" w:bidi="ar"/>
        </w:rPr>
        <w:t>5.3 材料和工程设备专用于合同工程</w:t>
      </w:r>
    </w:p>
    <w:p w14:paraId="4DEFC0A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5.3.1运入施工场地的材料、工程设备，包括备品备件、安装专用工器具与随机资料，必须专用于合同工程，未经监理人同意，承包人不得运出施工场地或挪作他用。</w:t>
      </w:r>
    </w:p>
    <w:p w14:paraId="5850690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1252C6B5">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00" w:name="_Toc256000132"/>
      <w:bookmarkEnd w:id="200"/>
      <w:r>
        <w:rPr>
          <w:rStyle w:val="78"/>
          <w:rFonts w:hint="eastAsia" w:ascii="黑体" w:hAnsi="宋体" w:eastAsia="黑体" w:cs="黑体"/>
          <w:kern w:val="2"/>
          <w:sz w:val="28"/>
          <w:szCs w:val="28"/>
          <w:lang w:val="en-US" w:eastAsia="zh-CN" w:bidi="ar"/>
        </w:rPr>
        <w:t>5.4 禁止使用不合格的材料和工程设备</w:t>
      </w:r>
    </w:p>
    <w:p w14:paraId="15C40FF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5.4.1 监理人有权拒绝承包人提供的不合格材料或工程设备，并要求承包人立即进行更换。监理人应在更换后再次进行检查和检验，由此增加的费用和（或）工期延误由承包人承担。</w:t>
      </w:r>
    </w:p>
    <w:p w14:paraId="7911DF1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5.4.2 监理人发现承包人使用了不合格的材料和工程设备，应即时发出指示要求承包人立即改正，并禁止在工程中继续使用不合格的材料和工程设备。</w:t>
      </w:r>
    </w:p>
    <w:p w14:paraId="1072042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5.4.3 发包人提供的材料或工程设备不符合合同要求的，承包人有权拒绝，并可要求发包人更换，由此增加的费用和（或）工期延误由发包人承担。</w:t>
      </w:r>
    </w:p>
    <w:p w14:paraId="000E56DB">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default" w:ascii="黑体" w:hAnsi="宋体" w:cs="Arial"/>
          <w:b/>
          <w:bCs w:val="0"/>
          <w:sz w:val="28"/>
          <w:szCs w:val="28"/>
        </w:rPr>
      </w:pPr>
      <w:bookmarkStart w:id="201" w:name="_Toc256000133"/>
      <w:bookmarkEnd w:id="201"/>
      <w:r>
        <w:rPr>
          <w:rStyle w:val="78"/>
          <w:rFonts w:hint="eastAsia" w:ascii="黑体" w:hAnsi="宋体" w:eastAsia="黑体" w:cs="黑体"/>
          <w:b/>
          <w:bCs w:val="0"/>
          <w:kern w:val="2"/>
          <w:sz w:val="28"/>
          <w:szCs w:val="28"/>
          <w:lang w:val="en-US" w:eastAsia="zh-CN" w:bidi="ar"/>
        </w:rPr>
        <w:t xml:space="preserve">6. </w:t>
      </w:r>
      <w:r>
        <w:rPr>
          <w:rStyle w:val="78"/>
          <w:rFonts w:hint="default" w:ascii="Arial" w:hAnsi="Arial" w:eastAsia="黑体" w:cs="Arial"/>
          <w:b/>
          <w:bCs w:val="0"/>
          <w:kern w:val="2"/>
          <w:sz w:val="28"/>
          <w:szCs w:val="28"/>
          <w:lang w:val="en-US" w:eastAsia="zh-CN" w:bidi="ar"/>
        </w:rPr>
        <w:t>施工设备和临时设施</w:t>
      </w:r>
    </w:p>
    <w:p w14:paraId="6784527A">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02" w:name="_Toc256000134"/>
      <w:bookmarkEnd w:id="202"/>
      <w:r>
        <w:rPr>
          <w:rStyle w:val="78"/>
          <w:rFonts w:hint="eastAsia" w:ascii="黑体" w:hAnsi="宋体" w:eastAsia="黑体" w:cs="黑体"/>
          <w:kern w:val="2"/>
          <w:sz w:val="28"/>
          <w:szCs w:val="28"/>
          <w:lang w:val="en-US" w:eastAsia="zh-CN" w:bidi="ar"/>
        </w:rPr>
        <w:t>6.1 承包人提供的施工设备和临时设施</w:t>
      </w:r>
    </w:p>
    <w:p w14:paraId="409A372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6.1.1 承包人应按合同进度计划的要求，及时配置施工设备和修建临时设施。进入施工场地的承包人设备需经监理人核查后才能投入使用。承包人更换合同约定的承包人设备的，应报监理人批准。</w:t>
      </w:r>
    </w:p>
    <w:p w14:paraId="62AB0B1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6.1.2除专用合同条款另有约定外，承包人应自行承担修建临时设施的费用，需要临时占地的，应由发包人办理申请手续并承担相应费用。</w:t>
      </w:r>
    </w:p>
    <w:p w14:paraId="557E1D6D">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03" w:name="_Toc256000135"/>
      <w:bookmarkEnd w:id="203"/>
      <w:r>
        <w:rPr>
          <w:rStyle w:val="78"/>
          <w:rFonts w:hint="eastAsia" w:ascii="黑体" w:hAnsi="宋体" w:eastAsia="黑体" w:cs="黑体"/>
          <w:kern w:val="2"/>
          <w:sz w:val="28"/>
          <w:szCs w:val="28"/>
          <w:lang w:val="en-US" w:eastAsia="zh-CN" w:bidi="ar"/>
        </w:rPr>
        <w:t>6.2 发包人提供的施工设备和临时设施</w:t>
      </w:r>
    </w:p>
    <w:p w14:paraId="0881891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发包人提供的施工设备或临时设施在专用合同条款中约定。</w:t>
      </w:r>
    </w:p>
    <w:p w14:paraId="72A4205F">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04" w:name="_Toc256000136"/>
      <w:bookmarkEnd w:id="204"/>
      <w:r>
        <w:rPr>
          <w:rStyle w:val="78"/>
          <w:rFonts w:hint="eastAsia" w:ascii="黑体" w:hAnsi="宋体" w:eastAsia="黑体" w:cs="黑体"/>
          <w:kern w:val="2"/>
          <w:sz w:val="28"/>
          <w:szCs w:val="28"/>
          <w:lang w:val="en-US" w:eastAsia="zh-CN" w:bidi="ar"/>
        </w:rPr>
        <w:t>6.3 要求承包人增加或更换施工设备</w:t>
      </w:r>
    </w:p>
    <w:p w14:paraId="2F68D37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承包人使用的施工设备不能满足合同进度计划和（或）质量要求时，监理人有权要求承包人增加或更换施工设备，承包人应及时增加或更换，由此增加的费用和（或）工期延误由承包人承担。</w:t>
      </w:r>
    </w:p>
    <w:p w14:paraId="555D7A41">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05" w:name="_Toc256000137"/>
      <w:bookmarkEnd w:id="205"/>
      <w:r>
        <w:rPr>
          <w:rStyle w:val="78"/>
          <w:rFonts w:hint="eastAsia" w:ascii="黑体" w:hAnsi="宋体" w:eastAsia="黑体" w:cs="黑体"/>
          <w:kern w:val="2"/>
          <w:sz w:val="28"/>
          <w:szCs w:val="28"/>
          <w:lang w:val="en-US" w:eastAsia="zh-CN" w:bidi="ar"/>
        </w:rPr>
        <w:t>6.4 施工设备和临时设施专用于合同工程</w:t>
      </w:r>
    </w:p>
    <w:p w14:paraId="5A4519A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6.4.1除合同另有约定外，运入施工场地的所有施工设备以及在施工场地建设的临时设施应专用于合同工程。未经监理人同意，不得将上述施工设备和临时设施中的任何部分运出施工场地或挪作他用。</w:t>
      </w:r>
    </w:p>
    <w:p w14:paraId="45CC302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6.4.2 经监理人同意，承包人可根据合同进度计划撤走闲置的施工设备。</w:t>
      </w:r>
    </w:p>
    <w:p w14:paraId="2150A775">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default" w:ascii="黑体" w:hAnsi="宋体" w:cs="Arial"/>
          <w:b/>
          <w:bCs w:val="0"/>
          <w:sz w:val="28"/>
          <w:szCs w:val="28"/>
        </w:rPr>
      </w:pPr>
      <w:bookmarkStart w:id="206" w:name="_Toc256000138"/>
      <w:bookmarkEnd w:id="206"/>
      <w:r>
        <w:rPr>
          <w:rStyle w:val="78"/>
          <w:rFonts w:hint="eastAsia" w:ascii="黑体" w:hAnsi="宋体" w:eastAsia="黑体" w:cs="黑体"/>
          <w:b/>
          <w:bCs w:val="0"/>
          <w:kern w:val="2"/>
          <w:sz w:val="28"/>
          <w:szCs w:val="28"/>
          <w:lang w:val="en-US" w:eastAsia="zh-CN" w:bidi="ar"/>
        </w:rPr>
        <w:t xml:space="preserve">7. </w:t>
      </w:r>
      <w:r>
        <w:rPr>
          <w:rStyle w:val="78"/>
          <w:rFonts w:hint="default" w:ascii="Arial" w:hAnsi="Arial" w:eastAsia="黑体" w:cs="Arial"/>
          <w:b/>
          <w:bCs w:val="0"/>
          <w:kern w:val="2"/>
          <w:sz w:val="28"/>
          <w:szCs w:val="28"/>
          <w:lang w:val="en-US" w:eastAsia="zh-CN" w:bidi="ar"/>
        </w:rPr>
        <w:t>交通运输</w:t>
      </w:r>
    </w:p>
    <w:p w14:paraId="512AAF75">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07" w:name="_Toc256000139"/>
      <w:bookmarkEnd w:id="207"/>
      <w:r>
        <w:rPr>
          <w:rStyle w:val="78"/>
          <w:rFonts w:hint="eastAsia" w:ascii="黑体" w:hAnsi="宋体" w:eastAsia="黑体" w:cs="黑体"/>
          <w:kern w:val="2"/>
          <w:sz w:val="28"/>
          <w:szCs w:val="28"/>
          <w:lang w:val="en-US" w:eastAsia="zh-CN" w:bidi="ar"/>
        </w:rPr>
        <w:t>7.1 道路通行权和场外设施</w:t>
      </w:r>
    </w:p>
    <w:p w14:paraId="7E6F618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10C5AE24">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08" w:name="_Toc256000140"/>
      <w:bookmarkEnd w:id="208"/>
      <w:r>
        <w:rPr>
          <w:rStyle w:val="78"/>
          <w:rFonts w:hint="eastAsia" w:ascii="黑体" w:hAnsi="宋体" w:eastAsia="黑体" w:cs="黑体"/>
          <w:kern w:val="2"/>
          <w:sz w:val="28"/>
          <w:szCs w:val="28"/>
          <w:lang w:val="en-US" w:eastAsia="zh-CN" w:bidi="ar"/>
        </w:rPr>
        <w:t>7.2 场内施工道路</w:t>
      </w:r>
    </w:p>
    <w:p w14:paraId="21E711E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7.2.1 除专用合同条款另有约定外，承包人应负责修建、维修、养护和管理施工所需的临时道路和交通设施，包括维修、养护和管理发包人提供的道路和交通设施，并承担相应费用。</w:t>
      </w:r>
    </w:p>
    <w:p w14:paraId="1813B6C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7.2.2 除专用合同条款另有约定外，承包人修建的临时道路和交通设施应免费提供发包人和监理人使用。</w:t>
      </w:r>
    </w:p>
    <w:p w14:paraId="668C363B">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09" w:name="_Toc256000141"/>
      <w:bookmarkEnd w:id="209"/>
      <w:r>
        <w:rPr>
          <w:rStyle w:val="78"/>
          <w:rFonts w:hint="eastAsia" w:ascii="黑体" w:hAnsi="宋体" w:eastAsia="黑体" w:cs="黑体"/>
          <w:kern w:val="2"/>
          <w:sz w:val="28"/>
          <w:szCs w:val="28"/>
          <w:lang w:val="en-US" w:eastAsia="zh-CN" w:bidi="ar"/>
        </w:rPr>
        <w:t>7.3 场外交通</w:t>
      </w:r>
    </w:p>
    <w:p w14:paraId="1280203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7.3.1 承包人车辆外出行驶所需的场外公共道路的通行费、养路费和税款等由承包人承担。</w:t>
      </w:r>
    </w:p>
    <w:p w14:paraId="1BB0481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7.3.2 承包人应遵守有关交通法规，严格按照道路和桥梁的限制荷重安全行驶，并服从交通管理部门的检查和监督。</w:t>
      </w:r>
    </w:p>
    <w:p w14:paraId="5792C9A0">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10" w:name="_Toc256000142"/>
      <w:bookmarkEnd w:id="210"/>
      <w:r>
        <w:rPr>
          <w:rStyle w:val="78"/>
          <w:rFonts w:hint="eastAsia" w:ascii="黑体" w:hAnsi="宋体" w:eastAsia="黑体" w:cs="黑体"/>
          <w:kern w:val="2"/>
          <w:sz w:val="28"/>
          <w:szCs w:val="28"/>
          <w:lang w:val="en-US" w:eastAsia="zh-CN" w:bidi="ar"/>
        </w:rPr>
        <w:t>7.4 超大件和超重件的运输</w:t>
      </w:r>
    </w:p>
    <w:p w14:paraId="1453D0A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69721ED">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11" w:name="_Toc256000143"/>
      <w:bookmarkEnd w:id="211"/>
      <w:r>
        <w:rPr>
          <w:rStyle w:val="78"/>
          <w:rFonts w:hint="eastAsia" w:ascii="黑体" w:hAnsi="宋体" w:eastAsia="黑体" w:cs="黑体"/>
          <w:kern w:val="2"/>
          <w:sz w:val="28"/>
          <w:szCs w:val="28"/>
          <w:lang w:val="en-US" w:eastAsia="zh-CN" w:bidi="ar"/>
        </w:rPr>
        <w:t>7.5 道路和桥梁的损坏责任</w:t>
      </w:r>
    </w:p>
    <w:p w14:paraId="39FCD74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因承包人运输造成施工场地内外公共道路和桥梁损坏的，由承包人承担修复损坏的全部费用和可能引起的赔偿。</w:t>
      </w:r>
    </w:p>
    <w:p w14:paraId="26E5C58C">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12" w:name="_Toc256000144"/>
      <w:bookmarkEnd w:id="212"/>
      <w:r>
        <w:rPr>
          <w:rStyle w:val="78"/>
          <w:rFonts w:hint="eastAsia" w:ascii="黑体" w:hAnsi="宋体" w:eastAsia="黑体" w:cs="黑体"/>
          <w:kern w:val="2"/>
          <w:sz w:val="28"/>
          <w:szCs w:val="28"/>
          <w:lang w:val="en-US" w:eastAsia="zh-CN" w:bidi="ar"/>
        </w:rPr>
        <w:t>7.6 水路和航空运输</w:t>
      </w:r>
    </w:p>
    <w:p w14:paraId="1C6A442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本条上述各款的内容适用于水路运输和航空运输，其中“道路”一词的涵义包括河道、航线、船闸、机场、码头、堤防以及水路或航空运输中其他相似结构物；“车辆”一词的涵义包括船舶和飞机等。 </w:t>
      </w:r>
    </w:p>
    <w:p w14:paraId="49A829B2">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default" w:ascii="黑体" w:hAnsi="宋体" w:cs="Arial"/>
          <w:b/>
          <w:bCs w:val="0"/>
          <w:sz w:val="28"/>
          <w:szCs w:val="28"/>
        </w:rPr>
      </w:pPr>
      <w:bookmarkStart w:id="213" w:name="_Toc256000145"/>
      <w:bookmarkEnd w:id="213"/>
      <w:r>
        <w:rPr>
          <w:rStyle w:val="78"/>
          <w:rFonts w:hint="eastAsia" w:ascii="黑体" w:hAnsi="宋体" w:eastAsia="黑体" w:cs="黑体"/>
          <w:b/>
          <w:bCs w:val="0"/>
          <w:kern w:val="2"/>
          <w:sz w:val="28"/>
          <w:szCs w:val="28"/>
          <w:lang w:val="en-US" w:eastAsia="zh-CN" w:bidi="ar"/>
        </w:rPr>
        <w:t xml:space="preserve">8. </w:t>
      </w:r>
      <w:r>
        <w:rPr>
          <w:rStyle w:val="78"/>
          <w:rFonts w:hint="default" w:ascii="Arial" w:hAnsi="Arial" w:eastAsia="黑体" w:cs="Arial"/>
          <w:b/>
          <w:bCs w:val="0"/>
          <w:kern w:val="2"/>
          <w:sz w:val="28"/>
          <w:szCs w:val="28"/>
          <w:lang w:val="en-US" w:eastAsia="zh-CN" w:bidi="ar"/>
        </w:rPr>
        <w:t>测量放线</w:t>
      </w:r>
    </w:p>
    <w:p w14:paraId="0AF74FEC">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14" w:name="_Toc256000146"/>
      <w:bookmarkEnd w:id="214"/>
      <w:r>
        <w:rPr>
          <w:rStyle w:val="78"/>
          <w:rFonts w:hint="eastAsia" w:ascii="黑体" w:hAnsi="宋体" w:eastAsia="黑体" w:cs="黑体"/>
          <w:kern w:val="2"/>
          <w:sz w:val="28"/>
          <w:szCs w:val="28"/>
          <w:lang w:val="en-US" w:eastAsia="zh-CN" w:bidi="ar"/>
        </w:rPr>
        <w:t>8.1 施工控制网</w:t>
      </w:r>
    </w:p>
    <w:p w14:paraId="01C478C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8.1.1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3F995DF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8.1.2承包人应负责管理施工控制网点。施工控制网点丢失或损坏的，承包人应及时修复。承包人应承担施工控制网点的管理与修复费用，并在工程竣工后将施工控制网点移交发包人。</w:t>
      </w:r>
    </w:p>
    <w:p w14:paraId="44715E80">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15" w:name="_Toc256000147"/>
      <w:bookmarkEnd w:id="215"/>
      <w:r>
        <w:rPr>
          <w:rStyle w:val="78"/>
          <w:rFonts w:hint="eastAsia" w:ascii="黑体" w:hAnsi="宋体" w:eastAsia="黑体" w:cs="黑体"/>
          <w:kern w:val="2"/>
          <w:sz w:val="28"/>
          <w:szCs w:val="28"/>
          <w:lang w:val="en-US" w:eastAsia="zh-CN" w:bidi="ar"/>
        </w:rPr>
        <w:t>8.2 施工测量</w:t>
      </w:r>
    </w:p>
    <w:p w14:paraId="0F12E2C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8.2.1承包人应负责施工过程中的全部施工测量放线工作，并配置合格的人员、仪器、设备和其他物品。</w:t>
      </w:r>
    </w:p>
    <w:p w14:paraId="082C876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8.2.2监理人可以指示承包人进行抽样复测，当复测中发现错误或出现超过合同约定的误差时，承包人应按监理人指示进行修正或补测，并承担相应的复测费用。</w:t>
      </w:r>
    </w:p>
    <w:p w14:paraId="60905548">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16" w:name="_Toc256000148"/>
      <w:bookmarkEnd w:id="216"/>
      <w:r>
        <w:rPr>
          <w:rStyle w:val="78"/>
          <w:rFonts w:hint="eastAsia" w:ascii="黑体" w:hAnsi="宋体" w:eastAsia="黑体" w:cs="黑体"/>
          <w:kern w:val="2"/>
          <w:sz w:val="28"/>
          <w:szCs w:val="28"/>
          <w:lang w:val="en-US" w:eastAsia="zh-CN" w:bidi="ar"/>
        </w:rPr>
        <w:t>8.3 基准资料错误的责任</w:t>
      </w:r>
    </w:p>
    <w:p w14:paraId="712C420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7879E23A">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17" w:name="_Toc256000149"/>
      <w:bookmarkEnd w:id="217"/>
      <w:r>
        <w:rPr>
          <w:rStyle w:val="78"/>
          <w:rFonts w:hint="eastAsia" w:ascii="黑体" w:hAnsi="宋体" w:eastAsia="黑体" w:cs="黑体"/>
          <w:kern w:val="2"/>
          <w:sz w:val="28"/>
          <w:szCs w:val="28"/>
          <w:lang w:val="en-US" w:eastAsia="zh-CN" w:bidi="ar"/>
        </w:rPr>
        <w:t>8.4 监理人使用施工控制网</w:t>
      </w:r>
    </w:p>
    <w:p w14:paraId="58192B1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strike w:val="0"/>
          <w:dstrike/>
        </w:rPr>
      </w:pPr>
      <w:r>
        <w:rPr>
          <w:rStyle w:val="78"/>
          <w:rFonts w:hint="eastAsia" w:ascii="宋体" w:hAnsi="宋体" w:eastAsia="宋体" w:cs="宋体"/>
          <w:color w:val="auto"/>
          <w:kern w:val="2"/>
          <w:sz w:val="21"/>
          <w:szCs w:val="21"/>
          <w:lang w:val="en-US" w:eastAsia="zh-CN" w:bidi="ar"/>
        </w:rPr>
        <w:t>监理人需要使用施工控制网的，承包人应提供必要的协助，发包人不再为此支付费用。</w:t>
      </w:r>
    </w:p>
    <w:p w14:paraId="0D082E4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default" w:ascii="黑体" w:hAnsi="宋体" w:cs="Arial"/>
          <w:b/>
          <w:bCs w:val="0"/>
          <w:sz w:val="28"/>
          <w:szCs w:val="28"/>
        </w:rPr>
      </w:pPr>
      <w:bookmarkStart w:id="218" w:name="_Toc256000150"/>
      <w:bookmarkEnd w:id="218"/>
      <w:r>
        <w:rPr>
          <w:rStyle w:val="78"/>
          <w:rFonts w:hint="eastAsia" w:ascii="黑体" w:hAnsi="宋体" w:eastAsia="黑体" w:cs="黑体"/>
          <w:b/>
          <w:bCs w:val="0"/>
          <w:kern w:val="2"/>
          <w:sz w:val="28"/>
          <w:szCs w:val="28"/>
          <w:lang w:val="en-US" w:eastAsia="zh-CN" w:bidi="ar"/>
        </w:rPr>
        <w:t xml:space="preserve">9. </w:t>
      </w:r>
      <w:r>
        <w:rPr>
          <w:rStyle w:val="78"/>
          <w:rFonts w:hint="default" w:ascii="Arial" w:hAnsi="Arial" w:eastAsia="黑体" w:cs="Arial"/>
          <w:b/>
          <w:bCs w:val="0"/>
          <w:kern w:val="2"/>
          <w:sz w:val="28"/>
          <w:szCs w:val="28"/>
          <w:lang w:val="en-US" w:eastAsia="zh-CN" w:bidi="ar"/>
        </w:rPr>
        <w:t>施工安全、治安保卫和环境保护</w:t>
      </w:r>
    </w:p>
    <w:p w14:paraId="2BDEDC9C">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19" w:name="_Toc256000151"/>
      <w:bookmarkEnd w:id="219"/>
      <w:r>
        <w:rPr>
          <w:rStyle w:val="78"/>
          <w:rFonts w:hint="eastAsia" w:ascii="黑体" w:hAnsi="宋体" w:eastAsia="黑体" w:cs="黑体"/>
          <w:kern w:val="2"/>
          <w:sz w:val="28"/>
          <w:szCs w:val="28"/>
          <w:lang w:val="en-US" w:eastAsia="zh-CN" w:bidi="ar"/>
        </w:rPr>
        <w:t>9.1 发包人的施工安全责任</w:t>
      </w:r>
    </w:p>
    <w:p w14:paraId="623CA44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9.1.1 发包人应按合同约定履行安全职责，授权监理人按合同约定的安全工作内容监督、检查承包人安全工作的实施，组织承包人和有关单位进行安全检查。</w:t>
      </w:r>
    </w:p>
    <w:p w14:paraId="26FCC4A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9.1.2 发包人应对其现场机构雇佣的全部人员的工伤事故承担责任，但由于承包人原因造成发包人人员工伤的，应由承包人承担责任。</w:t>
      </w:r>
    </w:p>
    <w:p w14:paraId="1DBA527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9.1.3 发包人应负责赔偿以下各种情况造成的第三者人身伤亡和财产损失：</w:t>
      </w:r>
    </w:p>
    <w:p w14:paraId="7C5EC7A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 工程或工程的任何部分对土地的占用所造成的第三者财产损失；</w:t>
      </w:r>
    </w:p>
    <w:p w14:paraId="0E06AA0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 由于发包人原因在施工场地及其毗邻地带造成的第三者人身伤亡和财产损失。</w:t>
      </w:r>
    </w:p>
    <w:p w14:paraId="6FF70ECB">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20" w:name="_Toc256000152"/>
      <w:bookmarkEnd w:id="220"/>
      <w:r>
        <w:rPr>
          <w:rStyle w:val="78"/>
          <w:rFonts w:hint="eastAsia" w:ascii="黑体" w:hAnsi="宋体" w:eastAsia="黑体" w:cs="黑体"/>
          <w:kern w:val="2"/>
          <w:sz w:val="28"/>
          <w:szCs w:val="28"/>
          <w:lang w:val="en-US" w:eastAsia="zh-CN" w:bidi="ar"/>
        </w:rPr>
        <w:t>9.2 承包人的施工安全责任</w:t>
      </w:r>
    </w:p>
    <w:p w14:paraId="0174999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9.2.1 承包人应按合同约定履行安全职责,执行监理人有关安全工作的指示,并在专用合同条款约定的期限内，按合同约定的安全工作内容，编制施工安全措施计划报送监理人审批。</w:t>
      </w:r>
    </w:p>
    <w:p w14:paraId="0C73069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9.2.2 承包人应加强施工作业安全管理，特别应加强易燃、易爆材料、火工器材、有毒与腐蚀性材料和其他危险品的管理，以及对爆破作业和地下工程施工等危险作业的管理。</w:t>
      </w:r>
    </w:p>
    <w:p w14:paraId="1539954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9.2.3 承包人应严格按照国家安全标准制定施工安全操作规程，配备必要的安全生产和劳动保护设施，加强对承包人人员的安全教育，并发放安全工作手册和劳动保护用具。</w:t>
      </w:r>
    </w:p>
    <w:p w14:paraId="7A40CE8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9.2.4 承包人应按监理人的指示制定应对灾害的紧急预案，报送监理人审批。承包人还应按预案做好安全检查，配置必要的救助物资和器材，切实保护好有关人员的人身和财产安全。</w:t>
      </w:r>
    </w:p>
    <w:p w14:paraId="7F6D07A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9.2.5 合同约定的安全作业环境及安全施工措施所需费用应遵守有关规定，并包括在相关工作的合同价格中。因采取合同未约定的安全作业环境及安全施工措施增加的费用，由监理人按第3.5款商定或确定。</w:t>
      </w:r>
    </w:p>
    <w:p w14:paraId="176D99C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9.2.6 承包人应对其履行合同所雇佣的全部人员，包括分包人人员的工伤事故承担责任，但由于发包人原因造成承包人人员工伤事故的，应由发包人承担责任。</w:t>
      </w:r>
    </w:p>
    <w:p w14:paraId="338E9FF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9.2.7 由于承包人原因在施工场地内及其毗邻地带造成的第三者人员伤亡和财产损失，由承包人负责赔偿。</w:t>
      </w:r>
    </w:p>
    <w:p w14:paraId="6B168EAF">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21" w:name="_Toc256000153"/>
      <w:bookmarkEnd w:id="221"/>
      <w:r>
        <w:rPr>
          <w:rStyle w:val="78"/>
          <w:rFonts w:hint="eastAsia" w:ascii="黑体" w:hAnsi="宋体" w:eastAsia="黑体" w:cs="黑体"/>
          <w:kern w:val="2"/>
          <w:sz w:val="28"/>
          <w:szCs w:val="28"/>
          <w:lang w:val="en-US" w:eastAsia="zh-CN" w:bidi="ar"/>
        </w:rPr>
        <w:t>9.3 治安保卫</w:t>
      </w:r>
    </w:p>
    <w:p w14:paraId="0C9956B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9.3.1 除合同另有约定外，发包人应与当地公安部门协商，在现场建立治安管理机构或联防组织，统一管理施工场地的治安保卫事项，履行合同工程的治安保卫职责。</w:t>
      </w:r>
    </w:p>
    <w:p w14:paraId="350A097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9.3.2 发包人和承包人除应协助现场治安管理机构或联防组织维护施工场地的社会治安外，还应做好包括生活区在内的各自管辖区的治安保卫工作。</w:t>
      </w:r>
    </w:p>
    <w:p w14:paraId="4C23D10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0754CD8E">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22" w:name="_Toc256000154"/>
      <w:bookmarkEnd w:id="222"/>
      <w:r>
        <w:rPr>
          <w:rStyle w:val="78"/>
          <w:rFonts w:hint="eastAsia" w:ascii="黑体" w:hAnsi="宋体" w:eastAsia="黑体" w:cs="黑体"/>
          <w:kern w:val="2"/>
          <w:sz w:val="28"/>
          <w:szCs w:val="28"/>
          <w:lang w:val="en-US" w:eastAsia="zh-CN" w:bidi="ar"/>
        </w:rPr>
        <w:t>9.4 环境保护</w:t>
      </w:r>
    </w:p>
    <w:p w14:paraId="732FC33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9.4.1 承包人在施工过程中，应遵守有关环境保护的法律，履行合同约定的环境保护义务，并对违反法律和合同约定义务所造成的环境破坏、人身伤害和财产损失负责。</w:t>
      </w:r>
    </w:p>
    <w:p w14:paraId="22D5FDB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9.4.2 承包人应按合同约定的环保工作内容，编制施工环保措施计划，报送监理人审批。</w:t>
      </w:r>
    </w:p>
    <w:p w14:paraId="1F50C81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2A7E882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9.4.4 承包人应按合同约定采取有效措施，对施工开挖的边坡及时进行支护,维护排水设施，并进行水土保护，避免因施工造成的地质灾害。</w:t>
      </w:r>
    </w:p>
    <w:p w14:paraId="2801327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9.4.5 承包人应按国家饮用水管理标准定期对饮用水源进行监测，防止施工活动污染饮用水源。</w:t>
      </w:r>
    </w:p>
    <w:p w14:paraId="173DC79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9.4.6 承包人应按合同约定，加强对噪声、粉尘、废气、废水和废油的控制，努力降低噪声，控制粉尘和废气浓度，做好废水和废油的治理和排放。</w:t>
      </w:r>
    </w:p>
    <w:p w14:paraId="6953C1F4">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23" w:name="_Toc256000155"/>
      <w:bookmarkEnd w:id="223"/>
      <w:r>
        <w:rPr>
          <w:rStyle w:val="78"/>
          <w:rFonts w:hint="eastAsia" w:ascii="黑体" w:hAnsi="宋体" w:eastAsia="黑体" w:cs="黑体"/>
          <w:kern w:val="2"/>
          <w:sz w:val="28"/>
          <w:szCs w:val="28"/>
          <w:lang w:val="en-US" w:eastAsia="zh-CN" w:bidi="ar"/>
        </w:rPr>
        <w:t>9.5 事故处理</w:t>
      </w:r>
    </w:p>
    <w:p w14:paraId="37C6C4D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99CF021">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24" w:name="_Toc256000156"/>
      <w:bookmarkEnd w:id="224"/>
      <w:r>
        <w:rPr>
          <w:rStyle w:val="78"/>
          <w:rFonts w:hint="eastAsia" w:ascii="黑体" w:hAnsi="宋体" w:eastAsia="黑体" w:cs="黑体"/>
          <w:b/>
          <w:bCs w:val="0"/>
          <w:kern w:val="2"/>
          <w:sz w:val="28"/>
          <w:szCs w:val="28"/>
          <w:lang w:val="en-US" w:eastAsia="zh-CN" w:bidi="ar"/>
        </w:rPr>
        <w:t>10. 进度计划</w:t>
      </w:r>
    </w:p>
    <w:p w14:paraId="65A758A4">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25" w:name="_Toc256000157"/>
      <w:bookmarkEnd w:id="225"/>
      <w:r>
        <w:rPr>
          <w:rStyle w:val="78"/>
          <w:rFonts w:hint="eastAsia" w:ascii="黑体" w:hAnsi="宋体" w:eastAsia="黑体" w:cs="黑体"/>
          <w:kern w:val="2"/>
          <w:sz w:val="28"/>
          <w:szCs w:val="28"/>
          <w:lang w:val="en-US" w:eastAsia="zh-CN" w:bidi="ar"/>
        </w:rPr>
        <w:t>10.1 合同进度计划</w:t>
      </w:r>
    </w:p>
    <w:p w14:paraId="21B4675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2CEAAA92">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宋体" w:hAnsi="宋体" w:eastAsia="宋体" w:cs="宋体"/>
        </w:rPr>
      </w:pPr>
      <w:bookmarkStart w:id="226" w:name="_Toc256000158"/>
      <w:bookmarkEnd w:id="226"/>
      <w:r>
        <w:rPr>
          <w:rStyle w:val="78"/>
          <w:rFonts w:hint="eastAsia" w:ascii="宋体" w:hAnsi="宋体" w:eastAsia="宋体" w:cs="宋体"/>
          <w:kern w:val="2"/>
          <w:sz w:val="24"/>
          <w:szCs w:val="24"/>
          <w:lang w:val="en-US" w:eastAsia="zh-CN" w:bidi="ar"/>
        </w:rPr>
        <w:t>10.2 合同进度计划的修订</w:t>
      </w:r>
    </w:p>
    <w:p w14:paraId="3AB980F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不论何种原因造成工程的实际进度与第10.1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监理人在批复前应获得发包人同意。</w:t>
      </w:r>
    </w:p>
    <w:p w14:paraId="06D8DAE0">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27" w:name="_Toc256000159"/>
      <w:bookmarkEnd w:id="227"/>
      <w:r>
        <w:rPr>
          <w:rStyle w:val="78"/>
          <w:rFonts w:hint="eastAsia" w:ascii="黑体" w:hAnsi="宋体" w:eastAsia="黑体" w:cs="黑体"/>
          <w:b/>
          <w:bCs w:val="0"/>
          <w:kern w:val="2"/>
          <w:sz w:val="28"/>
          <w:szCs w:val="28"/>
          <w:lang w:val="en-US" w:eastAsia="zh-CN" w:bidi="ar"/>
        </w:rPr>
        <w:t>11. 开工和竣工</w:t>
      </w:r>
    </w:p>
    <w:p w14:paraId="7828666F">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28" w:name="_Toc256000160"/>
      <w:bookmarkEnd w:id="228"/>
      <w:r>
        <w:rPr>
          <w:rStyle w:val="78"/>
          <w:rFonts w:hint="eastAsia" w:ascii="黑体" w:hAnsi="宋体" w:eastAsia="黑体" w:cs="黑体"/>
          <w:kern w:val="2"/>
          <w:sz w:val="28"/>
          <w:szCs w:val="28"/>
          <w:lang w:val="en-US" w:eastAsia="zh-CN" w:bidi="ar"/>
        </w:rPr>
        <w:t>11.1 开工</w:t>
      </w:r>
    </w:p>
    <w:p w14:paraId="173E9CE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11.1.1 监理人应在开工日期7天前向承包人发出开工通知。监理人在发出开工通知前应获得发包人同意。工期自监理人发出的开工通知中载明的开工日期起计算。承包人应在开工日期后尽快施工。</w:t>
      </w:r>
    </w:p>
    <w:p w14:paraId="6DEAAE6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shd w:val="clear" w:fill="7F7F7F"/>
        </w:rPr>
      </w:pPr>
      <w:r>
        <w:rPr>
          <w:rStyle w:val="78"/>
          <w:rFonts w:hint="eastAsia" w:ascii="宋体" w:hAnsi="宋体" w:eastAsia="宋体" w:cs="宋体"/>
          <w:color w:val="auto"/>
          <w:kern w:val="2"/>
          <w:sz w:val="21"/>
          <w:szCs w:val="21"/>
          <w:lang w:val="en-US" w:eastAsia="zh-CN" w:bidi="ar"/>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18EC9A1E">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29" w:name="_Toc256000161"/>
      <w:bookmarkEnd w:id="229"/>
      <w:r>
        <w:rPr>
          <w:rStyle w:val="78"/>
          <w:rFonts w:hint="eastAsia" w:ascii="黑体" w:hAnsi="宋体" w:eastAsia="黑体" w:cs="黑体"/>
          <w:kern w:val="2"/>
          <w:sz w:val="28"/>
          <w:szCs w:val="28"/>
          <w:lang w:val="en-US" w:eastAsia="zh-CN" w:bidi="ar"/>
        </w:rPr>
        <w:t>11.2 竣工</w:t>
      </w:r>
    </w:p>
    <w:p w14:paraId="25DACF6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承包人应在第1.1.4.3目约定的期限内完成合同工程。实际竣工日期在接收证书中写明。</w:t>
      </w:r>
    </w:p>
    <w:p w14:paraId="0B004A1C">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30" w:name="_Toc256000162"/>
      <w:bookmarkEnd w:id="230"/>
      <w:r>
        <w:rPr>
          <w:rStyle w:val="78"/>
          <w:rFonts w:hint="eastAsia" w:ascii="黑体" w:hAnsi="宋体" w:eastAsia="黑体" w:cs="黑体"/>
          <w:kern w:val="2"/>
          <w:sz w:val="28"/>
          <w:szCs w:val="28"/>
          <w:lang w:val="en-US" w:eastAsia="zh-CN" w:bidi="ar"/>
        </w:rPr>
        <w:t>11.3 发包人的工期延误</w:t>
      </w:r>
    </w:p>
    <w:p w14:paraId="50321D0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在履行合同过程中，由于发包人的下列原因造成工期延误的，承包人有权要求发包人延长工期和（或）增加费用，并支付合理利润。需要修订合同进度计划的，按照第10.2款的约定办理。</w:t>
      </w:r>
    </w:p>
    <w:p w14:paraId="3A8FB83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（1）增加合同工作内容；</w:t>
      </w:r>
    </w:p>
    <w:p w14:paraId="102EF3B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（2）改变合同中任何一项工作的质量要求或其他特性；</w:t>
      </w:r>
    </w:p>
    <w:p w14:paraId="7621E28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（3）发包人迟延提供材料、工程设备或变更交货地点的；</w:t>
      </w:r>
    </w:p>
    <w:p w14:paraId="7455428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（4）因发包人原因导致的暂停施工；</w:t>
      </w:r>
    </w:p>
    <w:p w14:paraId="6ED3F1E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（5）提供图纸延误；</w:t>
      </w:r>
    </w:p>
    <w:p w14:paraId="2B14E08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（6）未按合同约定及时支付预付款、进度款；</w:t>
      </w:r>
    </w:p>
    <w:p w14:paraId="4AEA6C9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（7）发包人造成工期延误的其他原因。</w:t>
      </w:r>
    </w:p>
    <w:p w14:paraId="7F9AC749">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31" w:name="_Toc256000163"/>
      <w:bookmarkEnd w:id="231"/>
      <w:r>
        <w:rPr>
          <w:rStyle w:val="78"/>
          <w:rFonts w:hint="eastAsia" w:ascii="黑体" w:hAnsi="宋体" w:eastAsia="黑体" w:cs="黑体"/>
          <w:kern w:val="2"/>
          <w:sz w:val="28"/>
          <w:szCs w:val="28"/>
          <w:lang w:val="en-US" w:eastAsia="zh-CN" w:bidi="ar"/>
        </w:rPr>
        <w:t>11.4 异常恶劣的气候条件</w:t>
      </w:r>
    </w:p>
    <w:p w14:paraId="0E384DF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由于出现专用合同条款规定的异常恶劣气候的条件导致工期延误的，承包人有权要求发包人延长工期。</w:t>
      </w:r>
    </w:p>
    <w:p w14:paraId="4BB6F52C">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32" w:name="_Toc256000164"/>
      <w:bookmarkEnd w:id="232"/>
      <w:r>
        <w:rPr>
          <w:rStyle w:val="78"/>
          <w:rFonts w:hint="eastAsia" w:ascii="黑体" w:hAnsi="宋体" w:eastAsia="黑体" w:cs="黑体"/>
          <w:kern w:val="2"/>
          <w:sz w:val="28"/>
          <w:szCs w:val="28"/>
          <w:lang w:val="en-US" w:eastAsia="zh-CN" w:bidi="ar"/>
        </w:rPr>
        <w:t>11.5 承包人的工期延误</w:t>
      </w:r>
    </w:p>
    <w:p w14:paraId="2A46902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5C619C00">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33" w:name="_Toc256000165"/>
      <w:bookmarkEnd w:id="233"/>
      <w:r>
        <w:rPr>
          <w:rStyle w:val="78"/>
          <w:rFonts w:hint="eastAsia" w:ascii="黑体" w:hAnsi="宋体" w:eastAsia="黑体" w:cs="黑体"/>
          <w:kern w:val="2"/>
          <w:sz w:val="28"/>
          <w:szCs w:val="28"/>
          <w:lang w:val="en-US" w:eastAsia="zh-CN" w:bidi="ar"/>
        </w:rPr>
        <w:t>11.6 工期提前</w:t>
      </w:r>
    </w:p>
    <w:p w14:paraId="0CD7F8F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r>
        <w:rPr>
          <w:rStyle w:val="78"/>
          <w:rFonts w:hint="eastAsia" w:ascii="宋体" w:hAnsi="宋体" w:eastAsia="宋体" w:cs="Times New Roman"/>
          <w:color w:val="auto"/>
          <w:kern w:val="2"/>
          <w:sz w:val="21"/>
          <w:szCs w:val="21"/>
          <w:lang w:val="en-US" w:eastAsia="zh-CN" w:bidi="ar"/>
        </w:rPr>
        <w:t xml:space="preserve"> </w:t>
      </w:r>
    </w:p>
    <w:p w14:paraId="76AE370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34" w:name="_Toc256000166"/>
      <w:bookmarkEnd w:id="234"/>
      <w:r>
        <w:rPr>
          <w:rStyle w:val="78"/>
          <w:rFonts w:hint="eastAsia" w:ascii="黑体" w:hAnsi="宋体" w:eastAsia="黑体" w:cs="黑体"/>
          <w:b/>
          <w:bCs w:val="0"/>
          <w:kern w:val="2"/>
          <w:sz w:val="28"/>
          <w:szCs w:val="28"/>
          <w:lang w:val="en-US" w:eastAsia="zh-CN" w:bidi="ar"/>
        </w:rPr>
        <w:t>12. 暂停施工</w:t>
      </w:r>
    </w:p>
    <w:p w14:paraId="0E9B438D">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35" w:name="_Toc256000167"/>
      <w:bookmarkEnd w:id="235"/>
      <w:r>
        <w:rPr>
          <w:rStyle w:val="78"/>
          <w:rFonts w:hint="eastAsia" w:ascii="黑体" w:hAnsi="宋体" w:eastAsia="黑体" w:cs="黑体"/>
          <w:kern w:val="2"/>
          <w:sz w:val="28"/>
          <w:szCs w:val="28"/>
          <w:lang w:val="en-US" w:eastAsia="zh-CN" w:bidi="ar"/>
        </w:rPr>
        <w:t>12.1 承包人暂停施工的责任</w:t>
      </w:r>
    </w:p>
    <w:p w14:paraId="0AD5912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因下列暂停施工增加的费用和（或）工期延误由承包人承担：</w:t>
      </w:r>
    </w:p>
    <w:p w14:paraId="019C730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（1）承包人违约引起的暂停施工；</w:t>
      </w:r>
    </w:p>
    <w:p w14:paraId="09CBBB7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（2）由于承包人原因为工程合理施工和安全保障所必需的暂停施工；</w:t>
      </w:r>
    </w:p>
    <w:p w14:paraId="7D12944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（3）承包人擅自暂停施工；</w:t>
      </w:r>
    </w:p>
    <w:p w14:paraId="45CB634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（4）承包人其他原因引起的暂停施工；</w:t>
      </w:r>
    </w:p>
    <w:p w14:paraId="6A494B5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（5）专用合同条款约定由承包人承担的其他暂停施工。</w:t>
      </w:r>
    </w:p>
    <w:p w14:paraId="3DD951EF">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36" w:name="_Toc256000168"/>
      <w:bookmarkEnd w:id="236"/>
      <w:r>
        <w:rPr>
          <w:rStyle w:val="78"/>
          <w:rFonts w:hint="eastAsia" w:ascii="黑体" w:hAnsi="宋体" w:eastAsia="黑体" w:cs="黑体"/>
          <w:kern w:val="2"/>
          <w:sz w:val="28"/>
          <w:szCs w:val="28"/>
          <w:lang w:val="en-US" w:eastAsia="zh-CN" w:bidi="ar"/>
        </w:rPr>
        <w:t>12.2 发包人暂停施工的责任</w:t>
      </w:r>
    </w:p>
    <w:p w14:paraId="5A108EA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由于发包人原因引起的暂停施工造成工期延误的，承包人有权要求发包人延长工期和（或）增加费用，并支付合理利润。</w:t>
      </w:r>
    </w:p>
    <w:p w14:paraId="20B8A4E0">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37" w:name="_Toc256000169"/>
      <w:bookmarkEnd w:id="237"/>
      <w:r>
        <w:rPr>
          <w:rStyle w:val="78"/>
          <w:rFonts w:hint="eastAsia" w:ascii="黑体" w:hAnsi="宋体" w:eastAsia="黑体" w:cs="黑体"/>
          <w:kern w:val="2"/>
          <w:sz w:val="28"/>
          <w:szCs w:val="28"/>
          <w:lang w:val="en-US" w:eastAsia="zh-CN" w:bidi="ar"/>
        </w:rPr>
        <w:t>12.3 监理人暂停施工指示</w:t>
      </w:r>
    </w:p>
    <w:p w14:paraId="198DB99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12.3.1 监理人认为有必要时，可向承包人作出暂停施工的指示，承包人应按监理人指示暂停施工。不论由于何种原因引起的暂停施工，暂停施工期间承包人应负责妥善保护工程并提供安全保障。</w:t>
      </w:r>
    </w:p>
    <w:p w14:paraId="154CDDC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43AFDD0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38" w:name="_Toc256000170"/>
      <w:bookmarkEnd w:id="238"/>
      <w:r>
        <w:rPr>
          <w:rStyle w:val="78"/>
          <w:rFonts w:hint="eastAsia" w:ascii="黑体" w:hAnsi="宋体" w:eastAsia="黑体" w:cs="黑体"/>
          <w:kern w:val="2"/>
          <w:sz w:val="28"/>
          <w:szCs w:val="28"/>
          <w:lang w:val="en-US" w:eastAsia="zh-CN" w:bidi="ar"/>
        </w:rPr>
        <w:t>12.4 暂停施工后的复工</w:t>
      </w:r>
    </w:p>
    <w:p w14:paraId="52E7C1E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0282E82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12.4.2 承包人无故拖延和拒绝复工的，由此增加的费用和工期延误由承包人承担；因发包人原因无法按时复工的，承包人有权要求发包人延长工期和（或）增加费用，并支付合理利润。</w:t>
      </w:r>
    </w:p>
    <w:p w14:paraId="0C258DB8">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39" w:name="_Toc256000171"/>
      <w:bookmarkEnd w:id="239"/>
      <w:r>
        <w:rPr>
          <w:rStyle w:val="78"/>
          <w:rFonts w:hint="eastAsia" w:ascii="黑体" w:hAnsi="宋体" w:eastAsia="黑体" w:cs="黑体"/>
          <w:kern w:val="2"/>
          <w:sz w:val="28"/>
          <w:szCs w:val="28"/>
          <w:lang w:val="en-US" w:eastAsia="zh-CN" w:bidi="ar"/>
        </w:rPr>
        <w:t>12.5 暂停施工持续7天以上</w:t>
      </w:r>
    </w:p>
    <w:p w14:paraId="09FE933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11" w:firstLineChars="196"/>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12.5.1 监理人发出暂停施工指示后7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14:paraId="323F7C3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12.5.2 由于承包人责任引起的暂停施工，如承包人在收到监理人暂停施工指示后7天内不认真采取有效的复工措施，造成工期延误，可视为承包人违约，应按第22.1款的规定办理。</w:t>
      </w:r>
    </w:p>
    <w:p w14:paraId="7FF7BC69">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40" w:name="_Toc256000172"/>
      <w:bookmarkEnd w:id="240"/>
      <w:r>
        <w:rPr>
          <w:rStyle w:val="78"/>
          <w:rFonts w:hint="eastAsia" w:ascii="黑体" w:hAnsi="宋体" w:eastAsia="黑体" w:cs="黑体"/>
          <w:b/>
          <w:bCs w:val="0"/>
          <w:kern w:val="2"/>
          <w:sz w:val="28"/>
          <w:szCs w:val="28"/>
          <w:lang w:val="en-US" w:eastAsia="zh-CN" w:bidi="ar"/>
        </w:rPr>
        <w:t>13. 工程质量</w:t>
      </w:r>
    </w:p>
    <w:p w14:paraId="5DDE7BBE">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41" w:name="_Toc256000173"/>
      <w:bookmarkEnd w:id="241"/>
      <w:r>
        <w:rPr>
          <w:rStyle w:val="78"/>
          <w:rFonts w:hint="eastAsia" w:ascii="黑体" w:hAnsi="宋体" w:eastAsia="黑体" w:cs="黑体"/>
          <w:kern w:val="2"/>
          <w:sz w:val="28"/>
          <w:szCs w:val="28"/>
          <w:lang w:val="en-US" w:eastAsia="zh-CN" w:bidi="ar"/>
        </w:rPr>
        <w:t>13.1 工程质量要求</w:t>
      </w:r>
    </w:p>
    <w:p w14:paraId="66BD02B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13.1.1 工程质量验收按合同约定验收标准执行。</w:t>
      </w:r>
    </w:p>
    <w:p w14:paraId="7E3202E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13.1.2 因承包人原因造成工程质量达不到合同约定验收标准的，监理人有权要求承包人返工直至符合合同要求为止，由此造成的费用增加和（或）工期延误由承包人承担。</w:t>
      </w:r>
    </w:p>
    <w:p w14:paraId="1C1C825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13.1.3 因发包人原因造成工程质量达不到合同约定验收标准的，发包人应承担由于承包人返工造成的费用增加和（或）工期延误，并支付承包人合理利润。</w:t>
      </w:r>
    </w:p>
    <w:p w14:paraId="76E3CAB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42" w:name="_Toc256000174"/>
      <w:bookmarkEnd w:id="242"/>
      <w:r>
        <w:rPr>
          <w:rStyle w:val="78"/>
          <w:rFonts w:hint="eastAsia" w:ascii="黑体" w:hAnsi="宋体" w:eastAsia="黑体" w:cs="黑体"/>
          <w:kern w:val="2"/>
          <w:sz w:val="28"/>
          <w:szCs w:val="28"/>
          <w:lang w:val="en-US" w:eastAsia="zh-CN" w:bidi="ar"/>
        </w:rPr>
        <w:t>13.2 承包人的质量管理</w:t>
      </w:r>
    </w:p>
    <w:p w14:paraId="1A6AD46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4C2D127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13.2.2 承包人应加强对施工人员的质量教育和技术培训，定期考核施工人员的劳动技能，严格执行规范和操作规程。</w:t>
      </w:r>
    </w:p>
    <w:p w14:paraId="5AA0EB29">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43" w:name="_Toc256000175"/>
      <w:bookmarkEnd w:id="243"/>
      <w:r>
        <w:rPr>
          <w:rStyle w:val="78"/>
          <w:rFonts w:hint="eastAsia" w:ascii="黑体" w:hAnsi="宋体" w:eastAsia="黑体" w:cs="黑体"/>
          <w:kern w:val="2"/>
          <w:sz w:val="28"/>
          <w:szCs w:val="28"/>
          <w:lang w:val="en-US" w:eastAsia="zh-CN" w:bidi="ar"/>
        </w:rPr>
        <w:t>13.3 承包人的质量检查</w:t>
      </w:r>
    </w:p>
    <w:p w14:paraId="77B8852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承包人应按合同约定对材料、工程设备以及工程的所有部位及其施工工艺进行全过程的质量检查和检验，并作详细记录，编制工程质量报表，报送监理人审查。</w:t>
      </w:r>
    </w:p>
    <w:p w14:paraId="000C0404">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44" w:name="_Toc256000176"/>
      <w:bookmarkEnd w:id="244"/>
      <w:r>
        <w:rPr>
          <w:rStyle w:val="78"/>
          <w:rFonts w:hint="eastAsia" w:ascii="黑体" w:hAnsi="宋体" w:eastAsia="黑体" w:cs="黑体"/>
          <w:kern w:val="2"/>
          <w:sz w:val="28"/>
          <w:szCs w:val="28"/>
          <w:lang w:val="en-US" w:eastAsia="zh-CN" w:bidi="ar"/>
        </w:rPr>
        <w:t>13.4 监理人的质量检查</w:t>
      </w:r>
    </w:p>
    <w:p w14:paraId="76ED504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4C7FD52">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45" w:name="_Toc256000177"/>
      <w:bookmarkEnd w:id="245"/>
      <w:r>
        <w:rPr>
          <w:rStyle w:val="78"/>
          <w:rFonts w:hint="eastAsia" w:ascii="黑体" w:hAnsi="宋体" w:eastAsia="黑体" w:cs="黑体"/>
          <w:kern w:val="2"/>
          <w:sz w:val="28"/>
          <w:szCs w:val="28"/>
          <w:lang w:val="en-US" w:eastAsia="zh-CN" w:bidi="ar"/>
        </w:rPr>
        <w:t>13.5 工程隐蔽部位覆盖前的检查</w:t>
      </w:r>
    </w:p>
    <w:p w14:paraId="4BD90A1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13.5.1 通知监理人检查</w:t>
      </w:r>
    </w:p>
    <w:p w14:paraId="20BFCB0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spacing w:val="0"/>
        </w:rPr>
      </w:pPr>
      <w:r>
        <w:rPr>
          <w:rStyle w:val="78"/>
          <w:rFonts w:hint="eastAsia" w:ascii="宋体" w:hAnsi="宋体" w:eastAsia="宋体" w:cs="宋体"/>
          <w:color w:val="auto"/>
          <w:spacing w:val="0"/>
          <w:kern w:val="2"/>
          <w:sz w:val="21"/>
          <w:szCs w:val="21"/>
          <w:lang w:val="en-US" w:eastAsia="zh-CN" w:bidi="ar"/>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4CE264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13.5.2 监理人未到场检查</w:t>
      </w:r>
    </w:p>
    <w:p w14:paraId="43C4A8A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监理人未按第13.5.1项约定的时间进行检查的，除监理人另有指示外，承包人可自行完成覆盖工作，并作相应记录报送监理人，监理人应签字确认。监理人事后对检查记录有疑问的，可按第13.5.3项的约定重新检查。</w:t>
      </w:r>
    </w:p>
    <w:p w14:paraId="3CAA2C8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13.5.3 监理人重新检查</w:t>
      </w:r>
    </w:p>
    <w:p w14:paraId="47C50ED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28F8606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13.5.4 承包人私自覆盖</w:t>
      </w:r>
    </w:p>
    <w:p w14:paraId="1C4FE6D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承包人未通知监理人到场检查，私自将工程隐蔽部位覆盖的，监理人有权指示承包人钻孔探测或揭开检查，由此增加的费用和（或）工期延误由承包人承担。</w:t>
      </w:r>
    </w:p>
    <w:p w14:paraId="7C2981A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46" w:name="_Toc256000178"/>
      <w:bookmarkEnd w:id="246"/>
      <w:r>
        <w:rPr>
          <w:rStyle w:val="78"/>
          <w:rFonts w:hint="eastAsia" w:ascii="黑体" w:hAnsi="宋体" w:eastAsia="黑体" w:cs="黑体"/>
          <w:kern w:val="2"/>
          <w:sz w:val="28"/>
          <w:szCs w:val="28"/>
          <w:lang w:val="en-US" w:eastAsia="zh-CN" w:bidi="ar"/>
        </w:rPr>
        <w:t>13.6 清除不合格工程</w:t>
      </w:r>
    </w:p>
    <w:p w14:paraId="0CB6779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424D07B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spacing w:val="0"/>
        </w:rPr>
      </w:pPr>
      <w:r>
        <w:rPr>
          <w:rStyle w:val="78"/>
          <w:rFonts w:hint="eastAsia" w:ascii="宋体" w:hAnsi="宋体" w:eastAsia="宋体" w:cs="宋体"/>
          <w:color w:val="auto"/>
          <w:spacing w:val="0"/>
          <w:kern w:val="2"/>
          <w:sz w:val="21"/>
          <w:szCs w:val="21"/>
          <w:lang w:val="en-US" w:eastAsia="zh-CN" w:bidi="ar"/>
        </w:rPr>
        <w:t>13.6.2 由于发包人提供的材料或工程设备不合格造成的工程不合格，需要承包人采取措施补救的，发包人应承担由此增加的费用和（或）工期延误，并支付承包人合理利润。</w:t>
      </w:r>
    </w:p>
    <w:p w14:paraId="139C9DD1">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47" w:name="_Toc256000179"/>
      <w:bookmarkEnd w:id="247"/>
      <w:r>
        <w:rPr>
          <w:rStyle w:val="78"/>
          <w:rFonts w:hint="eastAsia" w:ascii="黑体" w:hAnsi="宋体" w:eastAsia="黑体" w:cs="黑体"/>
          <w:b/>
          <w:bCs w:val="0"/>
          <w:kern w:val="2"/>
          <w:sz w:val="28"/>
          <w:szCs w:val="28"/>
          <w:lang w:val="en-US" w:eastAsia="zh-CN" w:bidi="ar"/>
        </w:rPr>
        <w:t>14. 试验和检验</w:t>
      </w:r>
    </w:p>
    <w:p w14:paraId="0CE44EC1">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48" w:name="_Toc256000180"/>
      <w:bookmarkEnd w:id="248"/>
      <w:r>
        <w:rPr>
          <w:rStyle w:val="78"/>
          <w:rFonts w:hint="eastAsia" w:ascii="黑体" w:hAnsi="宋体" w:eastAsia="黑体" w:cs="黑体"/>
          <w:kern w:val="2"/>
          <w:sz w:val="28"/>
          <w:szCs w:val="28"/>
          <w:lang w:val="en-US" w:eastAsia="zh-CN" w:bidi="ar"/>
        </w:rPr>
        <w:t>14.1 材料、工程设备和工程的试验和检验</w:t>
      </w:r>
    </w:p>
    <w:p w14:paraId="59708DD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ED090D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14.1.2 监理人未按合同约定派员参加试验和检验的，除监理人另有指示外，承包人可自行试验和检验，并应立即将试验和检验结果报送监理人，监理人应签字确认。</w:t>
      </w:r>
    </w:p>
    <w:p w14:paraId="2CD0B63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87FFF05">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49" w:name="_Toc256000181"/>
      <w:bookmarkEnd w:id="249"/>
      <w:r>
        <w:rPr>
          <w:rStyle w:val="78"/>
          <w:rFonts w:hint="eastAsia" w:ascii="黑体" w:hAnsi="宋体" w:eastAsia="黑体" w:cs="黑体"/>
          <w:kern w:val="2"/>
          <w:sz w:val="28"/>
          <w:szCs w:val="28"/>
          <w:lang w:val="en-US" w:eastAsia="zh-CN" w:bidi="ar"/>
        </w:rPr>
        <w:t>14.2 现场材料试验</w:t>
      </w:r>
    </w:p>
    <w:p w14:paraId="3487F7A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14.2.1 承包人根据合同约定或监理人指示进行的现场材料试验，应由承包人提供试验场所、试验人员、试验设备器材以及其他必要的试验条件。</w:t>
      </w:r>
    </w:p>
    <w:p w14:paraId="4FA3D25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14.2.2 监理人在必要时可以使用承包人的试验场所、试验设备器材以及其他试验条件，进行以工程质量检查为目的的复核性材料试验，承包人应予以协助。</w:t>
      </w:r>
    </w:p>
    <w:p w14:paraId="133DB63A">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50" w:name="_Toc256000182"/>
      <w:bookmarkEnd w:id="250"/>
      <w:r>
        <w:rPr>
          <w:rStyle w:val="78"/>
          <w:rFonts w:hint="eastAsia" w:ascii="黑体" w:hAnsi="宋体" w:eastAsia="黑体" w:cs="黑体"/>
          <w:kern w:val="2"/>
          <w:sz w:val="28"/>
          <w:szCs w:val="28"/>
          <w:lang w:val="en-US" w:eastAsia="zh-CN" w:bidi="ar"/>
        </w:rPr>
        <w:t>14.3 现场工艺试验</w:t>
      </w:r>
    </w:p>
    <w:p w14:paraId="0F5D15B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承包人应按合同约定或监理人指示进行现场工艺试验。对大型的现场工艺试验，监理人认为必要时，应由承包人根据监理人提出的工艺试验要求，编制工艺试验措施计划，报送监理人审批。</w:t>
      </w:r>
    </w:p>
    <w:p w14:paraId="0D463E39">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51" w:name="_Toc256000183"/>
      <w:bookmarkEnd w:id="251"/>
      <w:r>
        <w:rPr>
          <w:rStyle w:val="78"/>
          <w:rFonts w:hint="eastAsia" w:ascii="黑体" w:hAnsi="宋体" w:eastAsia="黑体" w:cs="黑体"/>
          <w:b/>
          <w:bCs w:val="0"/>
          <w:kern w:val="2"/>
          <w:sz w:val="28"/>
          <w:szCs w:val="28"/>
          <w:lang w:val="en-US" w:eastAsia="zh-CN" w:bidi="ar"/>
        </w:rPr>
        <w:t>15. 变更</w:t>
      </w:r>
    </w:p>
    <w:p w14:paraId="243E24F1">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52" w:name="_Toc256000184"/>
      <w:bookmarkEnd w:id="252"/>
      <w:r>
        <w:rPr>
          <w:rStyle w:val="78"/>
          <w:rFonts w:hint="eastAsia" w:ascii="黑体" w:hAnsi="宋体" w:eastAsia="黑体" w:cs="黑体"/>
          <w:kern w:val="2"/>
          <w:sz w:val="28"/>
          <w:szCs w:val="28"/>
          <w:lang w:val="en-US" w:eastAsia="zh-CN" w:bidi="ar"/>
        </w:rPr>
        <w:t>15.1 变更的范围和内容</w:t>
      </w:r>
    </w:p>
    <w:p w14:paraId="72B2994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除专用合同条款另有约定外，在履行合同中发生以下情形之一，应按照本条规定进行变更。</w:t>
      </w:r>
    </w:p>
    <w:p w14:paraId="10989EE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（1）取消合同中任何一项工作，但被取消的工作不能转由发包人或其他人实施；</w:t>
      </w:r>
    </w:p>
    <w:p w14:paraId="52B4AF2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（2）改变合同中任何一项工作的质量或其他特性；</w:t>
      </w:r>
    </w:p>
    <w:p w14:paraId="5DF06AD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（3）改变合同工程的基线、标高、位置或尺寸；</w:t>
      </w:r>
    </w:p>
    <w:p w14:paraId="5EAAE09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（4）改变合同中任何一项工作的施工时间或改变已批准的施工工艺或顺序；</w:t>
      </w:r>
    </w:p>
    <w:p w14:paraId="612054A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（5）为完成工程需要追加的额外工作。</w:t>
      </w:r>
    </w:p>
    <w:p w14:paraId="13BAB221">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53" w:name="_Toc256000185"/>
      <w:bookmarkEnd w:id="253"/>
      <w:r>
        <w:rPr>
          <w:rStyle w:val="78"/>
          <w:rFonts w:hint="eastAsia" w:ascii="黑体" w:hAnsi="宋体" w:eastAsia="黑体" w:cs="黑体"/>
          <w:kern w:val="2"/>
          <w:sz w:val="28"/>
          <w:szCs w:val="28"/>
          <w:lang w:val="en-US" w:eastAsia="zh-CN" w:bidi="ar"/>
        </w:rPr>
        <w:t>15.2 变更权</w:t>
      </w:r>
    </w:p>
    <w:p w14:paraId="790989A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在履行合同过程中，经发包人同意，监理人可按第15.3款约定的变更程序向承包人作出变更指示，承包人应遵照执行。没有监理人的变更指示，承包人不得擅自变更。</w:t>
      </w:r>
    </w:p>
    <w:p w14:paraId="0F01A5A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54" w:name="_Toc256000186"/>
      <w:bookmarkEnd w:id="254"/>
      <w:r>
        <w:rPr>
          <w:rStyle w:val="78"/>
          <w:rFonts w:hint="eastAsia" w:ascii="黑体" w:hAnsi="宋体" w:eastAsia="黑体" w:cs="黑体"/>
          <w:kern w:val="2"/>
          <w:sz w:val="28"/>
          <w:szCs w:val="28"/>
          <w:lang w:val="en-US" w:eastAsia="zh-CN" w:bidi="ar"/>
        </w:rPr>
        <w:t>15.3 变更程序</w:t>
      </w:r>
    </w:p>
    <w:p w14:paraId="091A178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15.3.1 变更的提出</w:t>
      </w:r>
    </w:p>
    <w:p w14:paraId="01AB773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 </w:t>
      </w:r>
    </w:p>
    <w:p w14:paraId="5BC48F5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（2）在合同履行过程中，发生第15.1款约定情形的，监理人应按照第15.3.3项约定向承包人发出变更指示。</w:t>
      </w:r>
    </w:p>
    <w:p w14:paraId="4FD6457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spacing w:val="0"/>
        </w:rPr>
      </w:pPr>
      <w:r>
        <w:rPr>
          <w:rStyle w:val="78"/>
          <w:rFonts w:hint="eastAsia" w:ascii="宋体" w:hAnsi="宋体" w:eastAsia="宋体" w:cs="宋体"/>
          <w:color w:val="auto"/>
          <w:spacing w:val="0"/>
          <w:kern w:val="2"/>
          <w:sz w:val="21"/>
          <w:szCs w:val="21"/>
          <w:lang w:val="en-US" w:eastAsia="zh-CN" w:bidi="ar"/>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423E92C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（4）若承包人收到监理人的变更意向书后认为难以实施此项变更，应立即通知监理人，说明原因并附详细依据。监理人与承包人和发包人协商后确定撤销、改变或不改变原变更意向书。</w:t>
      </w:r>
    </w:p>
    <w:p w14:paraId="3BF4052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15.3.2 变更估价</w:t>
      </w:r>
    </w:p>
    <w:p w14:paraId="3EE4490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2928B8D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spacing w:val="0"/>
        </w:rPr>
      </w:pPr>
      <w:r>
        <w:rPr>
          <w:rStyle w:val="78"/>
          <w:rFonts w:hint="eastAsia" w:ascii="宋体" w:hAnsi="宋体" w:eastAsia="宋体" w:cs="宋体"/>
          <w:color w:val="auto"/>
          <w:spacing w:val="0"/>
          <w:kern w:val="2"/>
          <w:sz w:val="21"/>
          <w:szCs w:val="21"/>
          <w:lang w:val="en-US" w:eastAsia="zh-CN" w:bidi="ar"/>
        </w:rPr>
        <w:t>（2）变更工作影响工期的，承包人应提出调整工期的具体细节。监理人认为有必要时，可要求承包人提交要求提前或延长工期的施工进度计划及相应施工措施等详细资料。</w:t>
      </w:r>
    </w:p>
    <w:p w14:paraId="467C7DD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（3）除专用合同条款对期限另有约定外，监理人收到承包人变更报价书后的14天内，根据第15.4款约定的估价原则，按照第3.5款商定或确定变更价格。</w:t>
      </w:r>
    </w:p>
    <w:p w14:paraId="07065AE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15.3.3 变更指示</w:t>
      </w:r>
    </w:p>
    <w:p w14:paraId="4D42FC5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（1）变更指示只能由监理人发出。</w:t>
      </w:r>
    </w:p>
    <w:p w14:paraId="61AF23F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Times New Roman" w:hAnsi="Times New Roman" w:eastAsia="宋体" w:cs="Times New Roman"/>
        </w:rPr>
      </w:pPr>
      <w:r>
        <w:rPr>
          <w:rStyle w:val="78"/>
          <w:rFonts w:hint="eastAsia" w:ascii="宋体" w:hAnsi="宋体" w:eastAsia="宋体" w:cs="宋体"/>
          <w:color w:val="auto"/>
          <w:kern w:val="2"/>
          <w:sz w:val="21"/>
          <w:szCs w:val="21"/>
          <w:lang w:val="en-US" w:eastAsia="zh-CN" w:bidi="ar"/>
        </w:rPr>
        <w:t>（2）变更指示应说明变更的目的、范围、变更内容以及变更的工程量及其进度和技术要求，并附有关图纸和文件。承包人收到变更指示后，应按变更指示进行变更工作。</w:t>
      </w:r>
    </w:p>
    <w:p w14:paraId="34CD0C4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55" w:name="_Toc256000187"/>
      <w:bookmarkEnd w:id="255"/>
      <w:r>
        <w:rPr>
          <w:rStyle w:val="78"/>
          <w:rFonts w:hint="eastAsia" w:ascii="黑体" w:hAnsi="宋体" w:eastAsia="黑体" w:cs="黑体"/>
          <w:kern w:val="2"/>
          <w:sz w:val="28"/>
          <w:szCs w:val="28"/>
          <w:lang w:val="en-US" w:eastAsia="zh-CN" w:bidi="ar"/>
        </w:rPr>
        <w:t>15.4 变更的估价原则</w:t>
      </w:r>
    </w:p>
    <w:p w14:paraId="5C64583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除专用合同条款另有约定外，因变更引起的价格调整按照本款约定处理。</w:t>
      </w:r>
    </w:p>
    <w:p w14:paraId="28A6453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15.4.1 已标价工程量清单中有适用于变更工作的子目的，采用该子目的单价。</w:t>
      </w:r>
    </w:p>
    <w:p w14:paraId="53B8277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15.4.2 已标价工程量清单中无适用于变更工作的子目，但有类似子目的，可在合理范围内参照类似子目的单价，由监理人按第3.5款商定或确定变更工作的单价。</w:t>
      </w:r>
    </w:p>
    <w:p w14:paraId="0DAF2A9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15.4.3 已标价工程量清单中无适用或类似子目的单价，可按照成本加利润的原则，由监理人按第3.5款商定或确定变更工作的单价。</w:t>
      </w:r>
    </w:p>
    <w:p w14:paraId="1FB00C99">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56" w:name="_Toc256000188"/>
      <w:bookmarkEnd w:id="256"/>
      <w:r>
        <w:rPr>
          <w:rStyle w:val="78"/>
          <w:rFonts w:hint="eastAsia" w:ascii="黑体" w:hAnsi="宋体" w:eastAsia="黑体" w:cs="黑体"/>
          <w:kern w:val="2"/>
          <w:sz w:val="28"/>
          <w:szCs w:val="28"/>
          <w:lang w:val="en-US" w:eastAsia="zh-CN" w:bidi="ar"/>
        </w:rPr>
        <w:t>15.5 承包人的合理化建议</w:t>
      </w:r>
    </w:p>
    <w:p w14:paraId="1B1BEE7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3AA4984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15.5.2 承包人提出的合理化建议降低了合同价格、缩短了工期或者提高了工程经济效益的，发包人可按国家有关规定在专用合同条款中约定给予奖励。</w:t>
      </w:r>
    </w:p>
    <w:p w14:paraId="384D6709">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57" w:name="_Toc256000189"/>
      <w:bookmarkEnd w:id="257"/>
      <w:r>
        <w:rPr>
          <w:rStyle w:val="78"/>
          <w:rFonts w:hint="eastAsia" w:ascii="黑体" w:hAnsi="宋体" w:eastAsia="黑体" w:cs="黑体"/>
          <w:kern w:val="2"/>
          <w:sz w:val="28"/>
          <w:szCs w:val="28"/>
          <w:lang w:val="en-US" w:eastAsia="zh-CN" w:bidi="ar"/>
        </w:rPr>
        <w:t>15.6 暂列金额</w:t>
      </w:r>
    </w:p>
    <w:p w14:paraId="313B407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暂列金额只能按照监理人的指示使用，并对合同价格进行相应调整。</w:t>
      </w:r>
    </w:p>
    <w:p w14:paraId="6192B1A1">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58" w:name="_Toc256000190"/>
      <w:bookmarkEnd w:id="258"/>
      <w:r>
        <w:rPr>
          <w:rStyle w:val="78"/>
          <w:rFonts w:hint="eastAsia" w:ascii="黑体" w:hAnsi="宋体" w:eastAsia="黑体" w:cs="黑体"/>
          <w:kern w:val="2"/>
          <w:sz w:val="28"/>
          <w:szCs w:val="28"/>
          <w:lang w:val="en-US" w:eastAsia="zh-CN" w:bidi="ar"/>
        </w:rPr>
        <w:t>15.7 计日工</w:t>
      </w:r>
    </w:p>
    <w:p w14:paraId="1BCB800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shd w:val="clear" w:fill="7F7F7F"/>
        </w:rPr>
      </w:pPr>
      <w:r>
        <w:rPr>
          <w:rStyle w:val="78"/>
          <w:rFonts w:hint="eastAsia" w:ascii="宋体" w:hAnsi="宋体" w:eastAsia="宋体" w:cs="宋体"/>
          <w:color w:val="auto"/>
          <w:kern w:val="2"/>
          <w:sz w:val="21"/>
          <w:szCs w:val="21"/>
          <w:lang w:val="en-US" w:eastAsia="zh-CN" w:bidi="ar"/>
        </w:rPr>
        <w:t>15.7.1 发包人认为有必要时，由监理人通知承包人以计日工方式实施变更的零星工作。其价款按列入已标价工程量清单中的计日工计价子目及其单价进行计算。</w:t>
      </w:r>
    </w:p>
    <w:p w14:paraId="3428A16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15.7.2 采用计日工计价的任何一项变更工作，应从暂列金额中支付，承包人应在该项变更的实施过程中，每天提交以下报表和有关凭证报送监理人审批：</w:t>
      </w:r>
    </w:p>
    <w:p w14:paraId="1318BBE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（1）工作名称、内容和数量；</w:t>
      </w:r>
    </w:p>
    <w:p w14:paraId="69F1E3B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（2）投入该工作所有人员的姓名、工种、级别和耗用工时；</w:t>
      </w:r>
    </w:p>
    <w:p w14:paraId="2BBF3AE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（3）投入该工作的材料类别和数量；</w:t>
      </w:r>
    </w:p>
    <w:p w14:paraId="6B5B65E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（4）投入该工作的施工设备型号、台数和耗用台时；</w:t>
      </w:r>
    </w:p>
    <w:p w14:paraId="4431FFF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（5）监理人要求提交的其他资料和凭证。</w:t>
      </w:r>
    </w:p>
    <w:p w14:paraId="3AC58C7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15.7.3 计日工由承包人汇总后，按第17.3.2项的约定列入进度付款申请单，由监理人复核并经发包人同意后列入进度付款。</w:t>
      </w:r>
    </w:p>
    <w:p w14:paraId="3A8C6D8E">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59" w:name="_Toc256000191"/>
      <w:bookmarkEnd w:id="259"/>
      <w:r>
        <w:rPr>
          <w:rStyle w:val="78"/>
          <w:rFonts w:hint="eastAsia" w:ascii="黑体" w:hAnsi="宋体" w:eastAsia="黑体" w:cs="黑体"/>
          <w:kern w:val="2"/>
          <w:sz w:val="28"/>
          <w:szCs w:val="28"/>
          <w:lang w:val="en-US" w:eastAsia="zh-CN" w:bidi="ar"/>
        </w:rPr>
        <w:t>15.8 暂估价</w:t>
      </w:r>
    </w:p>
    <w:p w14:paraId="11045C1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jc w:val="both"/>
        <w:textAlignment w:val="auto"/>
        <w:outlineLvl w:val="9"/>
        <w:rPr>
          <w:rFonts w:hint="eastAsia" w:ascii="宋体" w:hAnsi="宋体" w:eastAsia="宋体" w:cs="Times New Roman"/>
        </w:rPr>
      </w:pPr>
      <w:r>
        <w:rPr>
          <w:rStyle w:val="78"/>
          <w:rFonts w:hint="eastAsia" w:ascii="宋体" w:hAnsi="宋体" w:eastAsia="宋体" w:cs="Times New Roman"/>
          <w:color w:val="auto"/>
          <w:kern w:val="2"/>
          <w:sz w:val="21"/>
          <w:szCs w:val="21"/>
          <w:lang w:val="en-US" w:eastAsia="zh-CN" w:bidi="ar"/>
        </w:rPr>
        <w:t xml:space="preserve">    </w:t>
      </w:r>
      <w:r>
        <w:rPr>
          <w:rStyle w:val="78"/>
          <w:rFonts w:hint="eastAsia" w:ascii="宋体" w:hAnsi="宋体" w:eastAsia="宋体" w:cs="宋体"/>
          <w:color w:val="auto"/>
          <w:kern w:val="2"/>
          <w:sz w:val="21"/>
          <w:szCs w:val="21"/>
          <w:lang w:val="en-US" w:eastAsia="zh-CN" w:bidi="ar"/>
        </w:rPr>
        <w:t>15.8.1 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14:paraId="5F20DC1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5C0FC93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15.8.3 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163DD02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60" w:name="_Toc256000192"/>
      <w:bookmarkEnd w:id="260"/>
      <w:r>
        <w:rPr>
          <w:rStyle w:val="78"/>
          <w:rFonts w:hint="eastAsia" w:ascii="黑体" w:hAnsi="宋体" w:eastAsia="黑体" w:cs="黑体"/>
          <w:b/>
          <w:bCs w:val="0"/>
          <w:kern w:val="2"/>
          <w:sz w:val="28"/>
          <w:szCs w:val="28"/>
          <w:lang w:val="en-US" w:eastAsia="zh-CN" w:bidi="ar"/>
        </w:rPr>
        <w:t>16. 价格调整</w:t>
      </w:r>
    </w:p>
    <w:p w14:paraId="650FEAC8">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61" w:name="_Toc256000193"/>
      <w:bookmarkEnd w:id="261"/>
      <w:r>
        <w:rPr>
          <w:rStyle w:val="78"/>
          <w:rFonts w:hint="eastAsia" w:ascii="黑体" w:hAnsi="宋体" w:eastAsia="黑体" w:cs="黑体"/>
          <w:kern w:val="2"/>
          <w:sz w:val="28"/>
          <w:szCs w:val="28"/>
          <w:lang w:val="en-US" w:eastAsia="zh-CN" w:bidi="ar"/>
        </w:rPr>
        <w:t>16.1 物价波动引起的价格调整</w:t>
      </w:r>
    </w:p>
    <w:p w14:paraId="6C1A745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除专用合同条款另有约定外，因物价波动引起的价格调整按照本款约定处理。</w:t>
      </w:r>
    </w:p>
    <w:p w14:paraId="375384E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16.1.1 采用价格指数调整价格差额</w:t>
      </w:r>
    </w:p>
    <w:p w14:paraId="2E4CE08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16.1.1.1 价格调整公式</w:t>
      </w:r>
    </w:p>
    <w:p w14:paraId="0B5C801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因人工、材料和设备等价格波动影响合同价格时，根据投标函附录中的价格指数和权重表约定的数据，按以下公式计算差额并调整合同价格。</w:t>
      </w:r>
    </w:p>
    <w:p w14:paraId="3F350BF7">
      <w:pPr>
        <w:pStyle w:val="19"/>
        <w:keepNext w:val="0"/>
        <w:keepLines w:val="0"/>
        <w:widowControl w:val="0"/>
        <w:suppressLineNumbers w:val="0"/>
        <w:kinsoku/>
        <w:autoSpaceDE w:val="0"/>
        <w:autoSpaceDN w:val="0"/>
        <w:adjustRightInd w:val="0"/>
        <w:snapToGrid/>
        <w:spacing w:before="0" w:beforeAutospacing="0" w:after="0" w:afterAutospacing="0" w:line="1200" w:lineRule="exact"/>
        <w:ind w:left="0" w:right="248" w:firstLine="759" w:firstLineChars="398"/>
        <w:jc w:val="both"/>
        <w:textAlignment w:val="auto"/>
        <w:outlineLvl w:val="9"/>
        <w:rPr>
          <w:rFonts w:hint="eastAsia" w:ascii="宋体" w:hAnsi="宋体" w:eastAsia="宋体" w:cs="Times New Roman"/>
        </w:rPr>
      </w:pPr>
      <w:r>
        <w:rPr>
          <w:rStyle w:val="78"/>
          <w:rFonts w:hint="eastAsia" w:ascii="宋体" w:hAnsi="宋体" w:eastAsia="宋体" w:cs="Times New Roman"/>
          <w:b/>
          <w:bCs/>
          <w:color w:val="auto"/>
          <w:kern w:val="0"/>
          <w:sz w:val="19"/>
          <w:szCs w:val="19"/>
          <w:lang w:val="en-US" w:eastAsia="zh-CN" w:bidi="ar"/>
        </w:rPr>
        <w:t xml:space="preserve">        </w:t>
      </w:r>
      <w:r>
        <w:rPr>
          <w:rFonts w:hint="default" w:ascii="Times New Roman" w:hAnsi="Times New Roman" w:eastAsia="宋体" w:cs="Times New Roman"/>
          <w:snapToGrid/>
          <w:color w:val="auto"/>
          <w:kern w:val="2"/>
          <w:sz w:val="21"/>
          <w:szCs w:val="21"/>
          <w:lang w:val="en-US" w:eastAsia="zh-CN" w:bidi="ar"/>
        </w:rPr>
        <w:drawing>
          <wp:inline distT="0" distB="0" distL="114300" distR="114300">
            <wp:extent cx="3886200" cy="514350"/>
            <wp:effectExtent l="0" t="0" r="0" b="0"/>
            <wp:docPr id="12"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IMG_256"/>
                    <pic:cNvPicPr>
                      <a:picLocks noChangeAspect="1"/>
                    </pic:cNvPicPr>
                  </pic:nvPicPr>
                  <pic:blipFill>
                    <a:blip r:embed="rId10"/>
                    <a:stretch>
                      <a:fillRect/>
                    </a:stretch>
                  </pic:blipFill>
                  <pic:spPr>
                    <a:xfrm>
                      <a:off x="0" y="0"/>
                      <a:ext cx="3886200" cy="514350"/>
                    </a:xfrm>
                    <a:prstGeom prst="rect">
                      <a:avLst/>
                    </a:prstGeom>
                    <a:noFill/>
                    <a:ln w="9525">
                      <a:noFill/>
                    </a:ln>
                  </pic:spPr>
                </pic:pic>
              </a:graphicData>
            </a:graphic>
          </wp:inline>
        </w:drawing>
      </w:r>
    </w:p>
    <w:p w14:paraId="453C9301">
      <w:pPr>
        <w:pStyle w:val="19"/>
        <w:keepNext w:val="0"/>
        <w:keepLines w:val="0"/>
        <w:widowControl w:val="0"/>
        <w:suppressLineNumbers w:val="0"/>
        <w:tabs>
          <w:tab w:val="left" w:pos="1260"/>
        </w:tabs>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式中：</w:t>
      </w:r>
      <w:r>
        <w:rPr>
          <w:rStyle w:val="78"/>
          <w:rFonts w:hint="eastAsia" w:ascii="宋体" w:hAnsi="宋体" w:eastAsia="宋体" w:cs="Times New Roman"/>
          <w:color w:val="auto"/>
          <w:kern w:val="2"/>
          <w:sz w:val="21"/>
          <w:szCs w:val="21"/>
          <w:lang w:val="en-US" w:eastAsia="zh-CN" w:bidi="ar"/>
        </w:rPr>
        <w:t xml:space="preserve"> </w:t>
      </w:r>
      <w:r>
        <w:rPr>
          <w:rStyle w:val="78"/>
          <w:rFonts w:hint="eastAsia" w:ascii="宋体" w:hAnsi="宋体" w:eastAsia="宋体" w:cs="宋体"/>
          <w:color w:val="auto"/>
          <w:kern w:val="2"/>
          <w:sz w:val="21"/>
          <w:szCs w:val="21"/>
          <w:lang w:val="en-US" w:eastAsia="zh-CN" w:bidi="ar"/>
        </w:rPr>
        <w:t>△P -- 需调整的价格差额；</w:t>
      </w:r>
    </w:p>
    <w:p w14:paraId="4F7C79AC">
      <w:pPr>
        <w:pStyle w:val="19"/>
        <w:keepNext w:val="0"/>
        <w:keepLines w:val="0"/>
        <w:widowControl w:val="0"/>
        <w:suppressLineNumbers w:val="0"/>
        <w:tabs>
          <w:tab w:val="left" w:pos="1260"/>
        </w:tabs>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P</w:t>
      </w:r>
      <w:r>
        <w:rPr>
          <w:rStyle w:val="78"/>
          <w:rFonts w:hint="eastAsia" w:ascii="宋体" w:hAnsi="宋体" w:eastAsia="宋体" w:cs="宋体"/>
          <w:color w:val="auto"/>
          <w:kern w:val="2"/>
          <w:sz w:val="21"/>
          <w:szCs w:val="21"/>
          <w:vertAlign w:val="subscript"/>
          <w:lang w:val="en-US" w:eastAsia="zh-CN" w:bidi="ar"/>
        </w:rPr>
        <w:t>0</w:t>
      </w:r>
      <w:r>
        <w:rPr>
          <w:rStyle w:val="78"/>
          <w:rFonts w:hint="eastAsia" w:ascii="宋体" w:hAnsi="宋体" w:eastAsia="宋体" w:cs="Times New Roman"/>
          <w:color w:val="auto"/>
          <w:kern w:val="2"/>
          <w:sz w:val="21"/>
          <w:szCs w:val="21"/>
          <w:lang w:val="en-US" w:eastAsia="zh-CN" w:bidi="ar"/>
        </w:rPr>
        <w:t xml:space="preserve"> </w:t>
      </w:r>
      <w:r>
        <w:rPr>
          <w:rStyle w:val="78"/>
          <w:rFonts w:hint="eastAsia" w:ascii="宋体" w:hAnsi="宋体" w:eastAsia="宋体" w:cs="宋体"/>
          <w:color w:val="auto"/>
          <w:kern w:val="2"/>
          <w:sz w:val="21"/>
          <w:szCs w:val="21"/>
          <w:lang w:val="en-US" w:eastAsia="zh-CN" w:bidi="ar"/>
        </w:rPr>
        <w:t>-- 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p>
    <w:p w14:paraId="5C65F9C3">
      <w:pPr>
        <w:pStyle w:val="19"/>
        <w:keepNext w:val="0"/>
        <w:keepLines w:val="0"/>
        <w:widowControl w:val="0"/>
        <w:suppressLineNumbers w:val="0"/>
        <w:tabs>
          <w:tab w:val="left" w:pos="1260"/>
        </w:tabs>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A -- 定值权重(即不调部分的权重)；</w:t>
      </w:r>
    </w:p>
    <w:p w14:paraId="3D6D71C5">
      <w:pPr>
        <w:pStyle w:val="19"/>
        <w:keepNext w:val="0"/>
        <w:keepLines w:val="0"/>
        <w:widowControl w:val="0"/>
        <w:suppressLineNumbers w:val="0"/>
        <w:tabs>
          <w:tab w:val="left" w:pos="1260"/>
        </w:tabs>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B</w:t>
      </w:r>
      <w:r>
        <w:rPr>
          <w:rStyle w:val="78"/>
          <w:rFonts w:hint="eastAsia" w:ascii="宋体" w:hAnsi="宋体" w:eastAsia="宋体" w:cs="宋体"/>
          <w:color w:val="auto"/>
          <w:kern w:val="2"/>
          <w:sz w:val="21"/>
          <w:szCs w:val="21"/>
          <w:vertAlign w:val="subscript"/>
          <w:lang w:val="en-US" w:eastAsia="zh-CN" w:bidi="ar"/>
        </w:rPr>
        <w:t>1</w:t>
      </w:r>
      <w:r>
        <w:rPr>
          <w:rStyle w:val="78"/>
          <w:rFonts w:hint="eastAsia" w:ascii="宋体" w:hAnsi="宋体" w:eastAsia="宋体" w:cs="宋体"/>
          <w:color w:val="auto"/>
          <w:kern w:val="2"/>
          <w:sz w:val="15"/>
          <w:szCs w:val="15"/>
          <w:lang w:val="en-US" w:eastAsia="zh-CN" w:bidi="ar"/>
        </w:rPr>
        <w:t>;</w:t>
      </w:r>
      <w:r>
        <w:rPr>
          <w:rStyle w:val="78"/>
          <w:rFonts w:hint="eastAsia" w:ascii="宋体" w:hAnsi="宋体" w:eastAsia="宋体" w:cs="Times New Roman"/>
          <w:color w:val="auto"/>
          <w:kern w:val="2"/>
          <w:sz w:val="21"/>
          <w:szCs w:val="21"/>
          <w:lang w:val="en-US" w:eastAsia="zh-CN" w:bidi="ar"/>
        </w:rPr>
        <w:t xml:space="preserve"> </w:t>
      </w:r>
      <w:r>
        <w:rPr>
          <w:rStyle w:val="78"/>
          <w:rFonts w:hint="eastAsia" w:ascii="宋体" w:hAnsi="宋体" w:eastAsia="宋体" w:cs="宋体"/>
          <w:color w:val="auto"/>
          <w:kern w:val="2"/>
          <w:sz w:val="21"/>
          <w:szCs w:val="21"/>
          <w:lang w:val="en-US" w:eastAsia="zh-CN" w:bidi="ar"/>
        </w:rPr>
        <w:t>B</w:t>
      </w:r>
      <w:r>
        <w:rPr>
          <w:rStyle w:val="78"/>
          <w:rFonts w:hint="eastAsia" w:ascii="宋体" w:hAnsi="宋体" w:eastAsia="宋体" w:cs="宋体"/>
          <w:color w:val="auto"/>
          <w:kern w:val="2"/>
          <w:sz w:val="21"/>
          <w:szCs w:val="21"/>
          <w:vertAlign w:val="subscript"/>
          <w:lang w:val="en-US" w:eastAsia="zh-CN" w:bidi="ar"/>
        </w:rPr>
        <w:t>2</w:t>
      </w:r>
      <w:r>
        <w:rPr>
          <w:rStyle w:val="78"/>
          <w:rFonts w:hint="eastAsia" w:ascii="宋体" w:hAnsi="宋体" w:eastAsia="宋体" w:cs="Times New Roman"/>
          <w:color w:val="auto"/>
          <w:kern w:val="2"/>
          <w:sz w:val="21"/>
          <w:szCs w:val="21"/>
          <w:lang w:val="en-US" w:eastAsia="zh-CN" w:bidi="ar"/>
        </w:rPr>
        <w:t xml:space="preserve"> </w:t>
      </w:r>
      <w:r>
        <w:rPr>
          <w:rStyle w:val="78"/>
          <w:rFonts w:hint="eastAsia" w:ascii="宋体" w:hAnsi="宋体" w:eastAsia="宋体" w:cs="宋体"/>
          <w:color w:val="auto"/>
          <w:kern w:val="2"/>
          <w:sz w:val="21"/>
          <w:szCs w:val="21"/>
          <w:lang w:val="en-US" w:eastAsia="zh-CN" w:bidi="ar"/>
        </w:rPr>
        <w:t>;B</w:t>
      </w:r>
      <w:r>
        <w:rPr>
          <w:rStyle w:val="78"/>
          <w:rFonts w:hint="eastAsia" w:ascii="宋体" w:hAnsi="宋体" w:eastAsia="宋体" w:cs="宋体"/>
          <w:color w:val="auto"/>
          <w:kern w:val="2"/>
          <w:sz w:val="21"/>
          <w:szCs w:val="21"/>
          <w:vertAlign w:val="subscript"/>
          <w:lang w:val="en-US" w:eastAsia="zh-CN" w:bidi="ar"/>
        </w:rPr>
        <w:t>3</w:t>
      </w:r>
      <w:r>
        <w:rPr>
          <w:rStyle w:val="78"/>
          <w:rFonts w:hint="eastAsia" w:ascii="宋体" w:hAnsi="宋体" w:eastAsia="宋体" w:cs="宋体"/>
          <w:color w:val="auto"/>
          <w:kern w:val="2"/>
          <w:sz w:val="15"/>
          <w:szCs w:val="15"/>
          <w:lang w:val="en-US" w:eastAsia="zh-CN" w:bidi="ar"/>
        </w:rPr>
        <w:t>·····</w:t>
      </w:r>
      <w:r>
        <w:rPr>
          <w:rStyle w:val="78"/>
          <w:rFonts w:hint="eastAsia" w:ascii="宋体" w:hAnsi="宋体" w:eastAsia="宋体" w:cs="宋体"/>
          <w:color w:val="auto"/>
          <w:kern w:val="2"/>
          <w:sz w:val="21"/>
          <w:szCs w:val="21"/>
          <w:lang w:val="en-US" w:eastAsia="zh-CN" w:bidi="ar"/>
        </w:rPr>
        <w:t>B</w:t>
      </w:r>
      <w:r>
        <w:rPr>
          <w:rStyle w:val="78"/>
          <w:rFonts w:hint="eastAsia" w:ascii="宋体" w:hAnsi="宋体" w:eastAsia="宋体" w:cs="宋体"/>
          <w:color w:val="auto"/>
          <w:kern w:val="2"/>
          <w:sz w:val="21"/>
          <w:szCs w:val="21"/>
          <w:vertAlign w:val="subscript"/>
          <w:lang w:val="en-US" w:eastAsia="zh-CN" w:bidi="ar"/>
        </w:rPr>
        <w:t>n</w:t>
      </w:r>
      <w:r>
        <w:rPr>
          <w:rStyle w:val="78"/>
          <w:rFonts w:hint="eastAsia" w:ascii="宋体" w:hAnsi="宋体" w:eastAsia="宋体" w:cs="Times New Roman"/>
          <w:color w:val="auto"/>
          <w:kern w:val="2"/>
          <w:sz w:val="21"/>
          <w:szCs w:val="21"/>
          <w:lang w:val="en-US" w:eastAsia="zh-CN" w:bidi="ar"/>
        </w:rPr>
        <w:t xml:space="preserve"> </w:t>
      </w:r>
      <w:r>
        <w:rPr>
          <w:rStyle w:val="78"/>
          <w:rFonts w:hint="eastAsia" w:ascii="宋体" w:hAnsi="宋体" w:eastAsia="宋体" w:cs="宋体"/>
          <w:color w:val="auto"/>
          <w:kern w:val="2"/>
          <w:sz w:val="21"/>
          <w:szCs w:val="21"/>
          <w:lang w:val="en-US" w:eastAsia="zh-CN" w:bidi="ar"/>
        </w:rPr>
        <w:t>-- 各可调因子的变值权重(即可调部分的权重)为各可调因子在投标函投标总报价中所占的比例；</w:t>
      </w:r>
    </w:p>
    <w:p w14:paraId="08893755">
      <w:pPr>
        <w:pStyle w:val="19"/>
        <w:keepNext w:val="0"/>
        <w:keepLines w:val="0"/>
        <w:widowControl w:val="0"/>
        <w:suppressLineNumbers w:val="0"/>
        <w:tabs>
          <w:tab w:val="left" w:pos="1260"/>
        </w:tabs>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F</w:t>
      </w:r>
      <w:r>
        <w:rPr>
          <w:rStyle w:val="78"/>
          <w:rFonts w:hint="eastAsia" w:ascii="宋体" w:hAnsi="宋体" w:eastAsia="宋体" w:cs="宋体"/>
          <w:color w:val="auto"/>
          <w:kern w:val="2"/>
          <w:sz w:val="21"/>
          <w:szCs w:val="21"/>
          <w:vertAlign w:val="subscript"/>
          <w:lang w:val="en-US" w:eastAsia="zh-CN" w:bidi="ar"/>
        </w:rPr>
        <w:t>t1</w:t>
      </w:r>
      <w:r>
        <w:rPr>
          <w:rStyle w:val="78"/>
          <w:rFonts w:hint="eastAsia" w:ascii="宋体" w:hAnsi="宋体" w:eastAsia="宋体" w:cs="Times New Roman"/>
          <w:color w:val="auto"/>
          <w:kern w:val="2"/>
          <w:sz w:val="21"/>
          <w:szCs w:val="21"/>
          <w:lang w:val="en-US" w:eastAsia="zh-CN" w:bidi="ar"/>
        </w:rPr>
        <w:t xml:space="preserve"> </w:t>
      </w:r>
      <w:r>
        <w:rPr>
          <w:rStyle w:val="78"/>
          <w:rFonts w:hint="eastAsia" w:ascii="宋体" w:hAnsi="宋体" w:eastAsia="宋体" w:cs="宋体"/>
          <w:color w:val="auto"/>
          <w:kern w:val="2"/>
          <w:sz w:val="21"/>
          <w:szCs w:val="21"/>
          <w:lang w:val="en-US" w:eastAsia="zh-CN" w:bidi="ar"/>
        </w:rPr>
        <w:t>;F</w:t>
      </w:r>
      <w:r>
        <w:rPr>
          <w:rStyle w:val="78"/>
          <w:rFonts w:hint="eastAsia" w:ascii="宋体" w:hAnsi="宋体" w:eastAsia="宋体" w:cs="宋体"/>
          <w:color w:val="auto"/>
          <w:kern w:val="2"/>
          <w:sz w:val="21"/>
          <w:szCs w:val="21"/>
          <w:vertAlign w:val="subscript"/>
          <w:lang w:val="en-US" w:eastAsia="zh-CN" w:bidi="ar"/>
        </w:rPr>
        <w:t>t2</w:t>
      </w:r>
      <w:r>
        <w:rPr>
          <w:rStyle w:val="78"/>
          <w:rFonts w:hint="eastAsia" w:ascii="宋体" w:hAnsi="宋体" w:eastAsia="宋体" w:cs="Times New Roman"/>
          <w:color w:val="auto"/>
          <w:kern w:val="2"/>
          <w:sz w:val="21"/>
          <w:szCs w:val="21"/>
          <w:lang w:val="en-US" w:eastAsia="zh-CN" w:bidi="ar"/>
        </w:rPr>
        <w:t xml:space="preserve"> </w:t>
      </w:r>
      <w:r>
        <w:rPr>
          <w:rStyle w:val="78"/>
          <w:rFonts w:hint="eastAsia" w:ascii="宋体" w:hAnsi="宋体" w:eastAsia="宋体" w:cs="宋体"/>
          <w:color w:val="auto"/>
          <w:kern w:val="2"/>
          <w:sz w:val="21"/>
          <w:szCs w:val="21"/>
          <w:lang w:val="en-US" w:eastAsia="zh-CN" w:bidi="ar"/>
        </w:rPr>
        <w:t>;F</w:t>
      </w:r>
      <w:r>
        <w:rPr>
          <w:rStyle w:val="78"/>
          <w:rFonts w:hint="eastAsia" w:ascii="宋体" w:hAnsi="宋体" w:eastAsia="宋体" w:cs="宋体"/>
          <w:color w:val="auto"/>
          <w:kern w:val="2"/>
          <w:sz w:val="21"/>
          <w:szCs w:val="21"/>
          <w:vertAlign w:val="subscript"/>
          <w:lang w:val="en-US" w:eastAsia="zh-CN" w:bidi="ar"/>
        </w:rPr>
        <w:t>t3</w:t>
      </w:r>
      <w:r>
        <w:rPr>
          <w:rStyle w:val="78"/>
          <w:rFonts w:hint="eastAsia" w:ascii="宋体" w:hAnsi="宋体" w:eastAsia="宋体" w:cs="宋体"/>
          <w:color w:val="auto"/>
          <w:kern w:val="2"/>
          <w:sz w:val="15"/>
          <w:szCs w:val="15"/>
          <w:lang w:val="en-US" w:eastAsia="zh-CN" w:bidi="ar"/>
        </w:rPr>
        <w:t>·····</w:t>
      </w:r>
      <w:r>
        <w:rPr>
          <w:rStyle w:val="78"/>
          <w:rFonts w:hint="eastAsia" w:ascii="宋体" w:hAnsi="宋体" w:eastAsia="宋体" w:cs="宋体"/>
          <w:color w:val="auto"/>
          <w:kern w:val="2"/>
          <w:sz w:val="21"/>
          <w:szCs w:val="21"/>
          <w:lang w:val="en-US" w:eastAsia="zh-CN" w:bidi="ar"/>
        </w:rPr>
        <w:t>F</w:t>
      </w:r>
      <w:r>
        <w:rPr>
          <w:rStyle w:val="78"/>
          <w:rFonts w:hint="eastAsia" w:ascii="宋体" w:hAnsi="宋体" w:eastAsia="宋体" w:cs="宋体"/>
          <w:color w:val="auto"/>
          <w:kern w:val="2"/>
          <w:sz w:val="21"/>
          <w:szCs w:val="21"/>
          <w:vertAlign w:val="subscript"/>
          <w:lang w:val="en-US" w:eastAsia="zh-CN" w:bidi="ar"/>
        </w:rPr>
        <w:t>tn</w:t>
      </w:r>
      <w:r>
        <w:rPr>
          <w:rStyle w:val="78"/>
          <w:rFonts w:hint="eastAsia" w:ascii="宋体" w:hAnsi="宋体" w:eastAsia="宋体" w:cs="Times New Roman"/>
          <w:color w:val="auto"/>
          <w:kern w:val="2"/>
          <w:sz w:val="21"/>
          <w:szCs w:val="21"/>
          <w:lang w:val="en-US" w:eastAsia="zh-CN" w:bidi="ar"/>
        </w:rPr>
        <w:t xml:space="preserve"> </w:t>
      </w:r>
      <w:r>
        <w:rPr>
          <w:rStyle w:val="78"/>
          <w:rFonts w:hint="eastAsia" w:ascii="宋体" w:hAnsi="宋体" w:eastAsia="宋体" w:cs="宋体"/>
          <w:color w:val="auto"/>
          <w:kern w:val="2"/>
          <w:sz w:val="21"/>
          <w:szCs w:val="21"/>
          <w:lang w:val="en-US" w:eastAsia="zh-CN" w:bidi="ar"/>
        </w:rPr>
        <w:t>-- 各可调因子的现行价格指数，指第17.3.3项、第17.5.2项和第17.6.2项约定的付款证书相关周期最后一天的前42天的各可调因子的价格指数；</w:t>
      </w:r>
    </w:p>
    <w:p w14:paraId="4607821C">
      <w:pPr>
        <w:pStyle w:val="19"/>
        <w:keepNext w:val="0"/>
        <w:keepLines w:val="0"/>
        <w:widowControl w:val="0"/>
        <w:suppressLineNumbers w:val="0"/>
        <w:tabs>
          <w:tab w:val="left" w:pos="1260"/>
        </w:tabs>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F</w:t>
      </w:r>
      <w:r>
        <w:rPr>
          <w:rStyle w:val="78"/>
          <w:rFonts w:hint="eastAsia" w:ascii="宋体" w:hAnsi="宋体" w:eastAsia="宋体" w:cs="宋体"/>
          <w:color w:val="auto"/>
          <w:kern w:val="2"/>
          <w:sz w:val="21"/>
          <w:szCs w:val="21"/>
          <w:vertAlign w:val="subscript"/>
          <w:lang w:val="en-US" w:eastAsia="zh-CN" w:bidi="ar"/>
        </w:rPr>
        <w:t>o1</w:t>
      </w:r>
      <w:r>
        <w:rPr>
          <w:rStyle w:val="78"/>
          <w:rFonts w:hint="eastAsia" w:ascii="宋体" w:hAnsi="宋体" w:eastAsia="宋体" w:cs="宋体"/>
          <w:color w:val="auto"/>
          <w:kern w:val="2"/>
          <w:sz w:val="21"/>
          <w:szCs w:val="21"/>
          <w:lang w:val="en-US" w:eastAsia="zh-CN" w:bidi="ar"/>
        </w:rPr>
        <w:t>; F</w:t>
      </w:r>
      <w:r>
        <w:rPr>
          <w:rStyle w:val="78"/>
          <w:rFonts w:hint="eastAsia" w:ascii="宋体" w:hAnsi="宋体" w:eastAsia="宋体" w:cs="宋体"/>
          <w:color w:val="auto"/>
          <w:kern w:val="2"/>
          <w:sz w:val="21"/>
          <w:szCs w:val="21"/>
          <w:vertAlign w:val="subscript"/>
          <w:lang w:val="en-US" w:eastAsia="zh-CN" w:bidi="ar"/>
        </w:rPr>
        <w:t>o2</w:t>
      </w:r>
      <w:r>
        <w:rPr>
          <w:rStyle w:val="78"/>
          <w:rFonts w:hint="eastAsia" w:ascii="宋体" w:hAnsi="宋体" w:eastAsia="宋体" w:cs="宋体"/>
          <w:color w:val="auto"/>
          <w:kern w:val="2"/>
          <w:sz w:val="15"/>
          <w:szCs w:val="15"/>
          <w:lang w:val="en-US" w:eastAsia="zh-CN" w:bidi="ar"/>
        </w:rPr>
        <w:t>;</w:t>
      </w:r>
      <w:r>
        <w:rPr>
          <w:rStyle w:val="78"/>
          <w:rFonts w:hint="eastAsia" w:ascii="宋体" w:hAnsi="宋体" w:eastAsia="宋体" w:cs="Times New Roman"/>
          <w:color w:val="auto"/>
          <w:kern w:val="2"/>
          <w:sz w:val="21"/>
          <w:szCs w:val="21"/>
          <w:lang w:val="en-US" w:eastAsia="zh-CN" w:bidi="ar"/>
        </w:rPr>
        <w:t xml:space="preserve"> </w:t>
      </w:r>
      <w:r>
        <w:rPr>
          <w:rStyle w:val="78"/>
          <w:rFonts w:hint="eastAsia" w:ascii="宋体" w:hAnsi="宋体" w:eastAsia="宋体" w:cs="宋体"/>
          <w:color w:val="auto"/>
          <w:kern w:val="2"/>
          <w:sz w:val="21"/>
          <w:szCs w:val="21"/>
          <w:lang w:val="en-US" w:eastAsia="zh-CN" w:bidi="ar"/>
        </w:rPr>
        <w:t>F</w:t>
      </w:r>
      <w:r>
        <w:rPr>
          <w:rStyle w:val="78"/>
          <w:rFonts w:hint="eastAsia" w:ascii="宋体" w:hAnsi="宋体" w:eastAsia="宋体" w:cs="宋体"/>
          <w:color w:val="auto"/>
          <w:kern w:val="2"/>
          <w:sz w:val="21"/>
          <w:szCs w:val="21"/>
          <w:vertAlign w:val="subscript"/>
          <w:lang w:val="en-US" w:eastAsia="zh-CN" w:bidi="ar"/>
        </w:rPr>
        <w:t>o3</w:t>
      </w:r>
      <w:r>
        <w:rPr>
          <w:rStyle w:val="78"/>
          <w:rFonts w:hint="eastAsia" w:ascii="宋体" w:hAnsi="宋体" w:eastAsia="宋体" w:cs="宋体"/>
          <w:color w:val="auto"/>
          <w:kern w:val="2"/>
          <w:sz w:val="15"/>
          <w:szCs w:val="15"/>
          <w:lang w:val="en-US" w:eastAsia="zh-CN" w:bidi="ar"/>
        </w:rPr>
        <w:t>·····</w:t>
      </w:r>
      <w:r>
        <w:rPr>
          <w:rStyle w:val="78"/>
          <w:rFonts w:hint="eastAsia" w:ascii="宋体" w:hAnsi="宋体" w:eastAsia="宋体" w:cs="宋体"/>
          <w:color w:val="auto"/>
          <w:kern w:val="2"/>
          <w:sz w:val="21"/>
          <w:szCs w:val="21"/>
          <w:lang w:val="en-US" w:eastAsia="zh-CN" w:bidi="ar"/>
        </w:rPr>
        <w:t>F</w:t>
      </w:r>
      <w:r>
        <w:rPr>
          <w:rStyle w:val="78"/>
          <w:rFonts w:hint="eastAsia" w:ascii="宋体" w:hAnsi="宋体" w:eastAsia="宋体" w:cs="宋体"/>
          <w:color w:val="auto"/>
          <w:kern w:val="2"/>
          <w:sz w:val="21"/>
          <w:szCs w:val="21"/>
          <w:vertAlign w:val="subscript"/>
          <w:lang w:val="en-US" w:eastAsia="zh-CN" w:bidi="ar"/>
        </w:rPr>
        <w:t>on</w:t>
      </w:r>
      <w:r>
        <w:rPr>
          <w:rStyle w:val="78"/>
          <w:rFonts w:hint="eastAsia" w:ascii="宋体" w:hAnsi="宋体" w:eastAsia="宋体" w:cs="Times New Roman"/>
          <w:color w:val="auto"/>
          <w:kern w:val="2"/>
          <w:sz w:val="21"/>
          <w:szCs w:val="21"/>
          <w:lang w:val="en-US" w:eastAsia="zh-CN" w:bidi="ar"/>
        </w:rPr>
        <w:t xml:space="preserve"> </w:t>
      </w:r>
      <w:r>
        <w:rPr>
          <w:rStyle w:val="78"/>
          <w:rFonts w:hint="eastAsia" w:ascii="宋体" w:hAnsi="宋体" w:eastAsia="宋体" w:cs="宋体"/>
          <w:color w:val="auto"/>
          <w:kern w:val="2"/>
          <w:sz w:val="21"/>
          <w:szCs w:val="21"/>
          <w:lang w:val="en-US" w:eastAsia="zh-CN" w:bidi="ar"/>
        </w:rPr>
        <w:t>-- 各可调因子的基本价格指数，指基准日期的各可调因子的价格指数。</w:t>
      </w:r>
    </w:p>
    <w:p w14:paraId="7306AF7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41E2511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16.1.1.2 暂时确定调整差额</w:t>
      </w:r>
    </w:p>
    <w:p w14:paraId="386C05F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在计算调整差额时得不到现行价格指数的，可暂用上一次价格指数计算，并在以后的付款中再按实际价格指数进行调整。</w:t>
      </w:r>
    </w:p>
    <w:p w14:paraId="518B358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16.1.1.3 权重的调整</w:t>
      </w:r>
    </w:p>
    <w:p w14:paraId="2FA676B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按第15.1款约定的变更导致原定合同中的权重不合理时，由监理人与承包人和发包人协商后进行调整。</w:t>
      </w:r>
    </w:p>
    <w:p w14:paraId="7FEE19F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16.1.1.4 承包人工期延误后的价格调整</w:t>
      </w:r>
    </w:p>
    <w:p w14:paraId="3EF7AF7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14:paraId="013C69D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16.1.2 采用造价信息调整价格差额</w:t>
      </w:r>
    </w:p>
    <w:p w14:paraId="0AFB185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5637761E">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62" w:name="_Toc256000194"/>
      <w:bookmarkEnd w:id="262"/>
      <w:r>
        <w:rPr>
          <w:rStyle w:val="78"/>
          <w:rFonts w:hint="eastAsia" w:ascii="黑体" w:hAnsi="宋体" w:eastAsia="黑体" w:cs="黑体"/>
          <w:kern w:val="2"/>
          <w:sz w:val="28"/>
          <w:szCs w:val="28"/>
          <w:lang w:val="en-US" w:eastAsia="zh-CN" w:bidi="ar"/>
        </w:rPr>
        <w:t>16.2 法律变化引起的价格调整</w:t>
      </w:r>
    </w:p>
    <w:p w14:paraId="630219A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在基准日后，因法律变化导致承包人在合同履行中所需要的工程费用发生除第16.1款约定以外的增减时，监理人应根据法律、国家或省、自治区、直辖市有关部门的规定，按第3.5款商定或确定需调整的合同价款。</w:t>
      </w:r>
    </w:p>
    <w:p w14:paraId="2A956DA2">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63" w:name="_Toc256000195"/>
      <w:bookmarkEnd w:id="263"/>
      <w:r>
        <w:rPr>
          <w:rStyle w:val="78"/>
          <w:rFonts w:hint="eastAsia" w:ascii="黑体" w:hAnsi="宋体" w:eastAsia="黑体" w:cs="黑体"/>
          <w:b/>
          <w:bCs w:val="0"/>
          <w:kern w:val="2"/>
          <w:sz w:val="28"/>
          <w:szCs w:val="28"/>
          <w:lang w:val="en-US" w:eastAsia="zh-CN" w:bidi="ar"/>
        </w:rPr>
        <w:t>17. 计量与支付</w:t>
      </w:r>
    </w:p>
    <w:p w14:paraId="5EBE4EB8">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64" w:name="_Toc256000196"/>
      <w:bookmarkEnd w:id="264"/>
      <w:r>
        <w:rPr>
          <w:rStyle w:val="78"/>
          <w:rFonts w:hint="eastAsia" w:ascii="黑体" w:hAnsi="宋体" w:eastAsia="黑体" w:cs="黑体"/>
          <w:kern w:val="2"/>
          <w:sz w:val="28"/>
          <w:szCs w:val="28"/>
          <w:lang w:val="en-US" w:eastAsia="zh-CN" w:bidi="ar"/>
        </w:rPr>
        <w:t>17.1 计量</w:t>
      </w:r>
    </w:p>
    <w:p w14:paraId="3706A2C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17.1.1 计量单位</w:t>
      </w:r>
    </w:p>
    <w:p w14:paraId="7DC4772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计量采用国家法定的计量单位。</w:t>
      </w:r>
    </w:p>
    <w:p w14:paraId="316A50C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17.1.2 计量方法</w:t>
      </w:r>
    </w:p>
    <w:p w14:paraId="24C4E93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工程量清单中的工程量计算规则应按有关国家标准、行业标准的规定，并在合同中约定执行。</w:t>
      </w:r>
    </w:p>
    <w:p w14:paraId="26B0E88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17.1.3 计量周期</w:t>
      </w:r>
    </w:p>
    <w:p w14:paraId="0E171CA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除专用合同条款另有约定外，单价子目已完成工程量按月计量，总价子目的计量周期按批准的支付分解报告确定。</w:t>
      </w:r>
    </w:p>
    <w:p w14:paraId="60B6553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17.1.4 单价子目的计量</w:t>
      </w:r>
    </w:p>
    <w:p w14:paraId="1255C1A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（1）已标价工程量清单中的单价子目工程量为估算工程量。结算工程量是承包人实际完成的，并按合同约定的计量方法进行计量的工程量。</w:t>
      </w:r>
    </w:p>
    <w:p w14:paraId="1440440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（2）承包人对已完成的工程进行计量，向监理人提交进度付款申请单、已完成工程量报表和有关计量资料。</w:t>
      </w:r>
    </w:p>
    <w:p w14:paraId="5697B0E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6516BFA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（4）监理人认为有必要时，可通知承包人共同进行联合测量、计量，承包人应遵照执行。</w:t>
      </w:r>
    </w:p>
    <w:p w14:paraId="158C63A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0CCB02C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（6）监理人应在收到承包人提交的工程量报表后的7天内进行复核，监理人未在约定时间内复核的，承包人提交的工程量报表中的工程量视为承包人实际完成的工程量，据此计算工程价款。</w:t>
      </w:r>
    </w:p>
    <w:p w14:paraId="77BE28F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17.1.5 总价子目的计量</w:t>
      </w:r>
    </w:p>
    <w:p w14:paraId="279CE02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除专用合同条款另有约定外，总价子目的分解和计量按照下述约定进行。</w:t>
      </w:r>
    </w:p>
    <w:p w14:paraId="7E91DB1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（1）总价子目的计量和支付应以总价为基础，不因第16.1款中的因素而进行调整。承包人实际完成的工程量，是进行工程目标管理和控制进度支付的依据。</w:t>
      </w:r>
    </w:p>
    <w:p w14:paraId="58F5ED0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1A13A32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（3）监理人对承包人提交的上述资料进行复核，以确定分阶段实际完成的工程量和工程形象目标。对其有异议的，可要求承包人按第8.2款约定进行共同复核和抽样复测。</w:t>
      </w:r>
    </w:p>
    <w:p w14:paraId="22B7085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（4）除按照第15条约定的变更外，总价子目的工程量是承包人用于结算的最终工程量。 </w:t>
      </w:r>
    </w:p>
    <w:p w14:paraId="22BEC13B">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65" w:name="_Toc256000197"/>
      <w:bookmarkEnd w:id="265"/>
      <w:r>
        <w:rPr>
          <w:rStyle w:val="78"/>
          <w:rFonts w:hint="eastAsia" w:ascii="黑体" w:hAnsi="宋体" w:eastAsia="黑体" w:cs="黑体"/>
          <w:kern w:val="2"/>
          <w:sz w:val="28"/>
          <w:szCs w:val="28"/>
          <w:lang w:val="en-US" w:eastAsia="zh-CN" w:bidi="ar"/>
        </w:rPr>
        <w:t>17.2 预付款</w:t>
      </w:r>
    </w:p>
    <w:p w14:paraId="01A7DCC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17.2.1 预付款</w:t>
      </w:r>
    </w:p>
    <w:p w14:paraId="65283B9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预付款用于承包人为合同工程施工购置材料、工程设备、施工设备、修建临时设施以及组织施工队伍进场等。预付款的额度和预付办法在专用合同条款中约定。预付款必须专用于合同工程。</w:t>
      </w:r>
    </w:p>
    <w:p w14:paraId="129EDC1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17.2.2 预付款保函</w:t>
      </w:r>
    </w:p>
    <w:p w14:paraId="11C40A7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除专用合同条款另有约定外，承包人应在收到预付款的同时向发包人提交预付款保函，预付款保函的担保金额应与预付款金额相同。保函的担保金额可根据预付款扣回的金额相应递减。</w:t>
      </w:r>
    </w:p>
    <w:p w14:paraId="15F843A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17.2.3 预付款的扣回与还清</w:t>
      </w:r>
    </w:p>
    <w:p w14:paraId="6E62FA1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预付款在进度付款中扣回，扣回办法在专用合同条款中约定。在颁发工程接收证书前，由于不可抗力或其他原因解除合同时，预付款尚未扣清的，尚未扣清的预付款余额应作为承包人的到期应付款。</w:t>
      </w:r>
    </w:p>
    <w:p w14:paraId="5D14FBEA">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66" w:name="_Toc256000198"/>
      <w:bookmarkEnd w:id="266"/>
      <w:r>
        <w:rPr>
          <w:rStyle w:val="78"/>
          <w:rFonts w:hint="eastAsia" w:ascii="黑体" w:hAnsi="宋体" w:eastAsia="黑体" w:cs="黑体"/>
          <w:kern w:val="2"/>
          <w:sz w:val="28"/>
          <w:szCs w:val="28"/>
          <w:lang w:val="en-US" w:eastAsia="zh-CN" w:bidi="ar"/>
        </w:rPr>
        <w:t>17.3 工程进度付款</w:t>
      </w:r>
    </w:p>
    <w:p w14:paraId="0E55477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17.3.1 付款周期</w:t>
      </w:r>
    </w:p>
    <w:p w14:paraId="1744417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付款周期同计量周期。</w:t>
      </w:r>
    </w:p>
    <w:p w14:paraId="2F89B5A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17.3.2 进度付款申请单</w:t>
      </w:r>
    </w:p>
    <w:p w14:paraId="36A9484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strike w:val="0"/>
          <w:dstrike/>
        </w:rPr>
      </w:pPr>
      <w:r>
        <w:rPr>
          <w:rStyle w:val="78"/>
          <w:rFonts w:hint="eastAsia" w:ascii="宋体" w:hAnsi="宋体" w:eastAsia="宋体" w:cs="宋体"/>
          <w:color w:val="auto"/>
          <w:kern w:val="2"/>
          <w:sz w:val="21"/>
          <w:szCs w:val="21"/>
          <w:lang w:val="en-US" w:eastAsia="zh-CN" w:bidi="ar"/>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07414CE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（1）截至本次付款周期末已实施工程的价款；</w:t>
      </w:r>
    </w:p>
    <w:p w14:paraId="191902F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（2）根据第15条应增加和扣减的变更金额；</w:t>
      </w:r>
    </w:p>
    <w:p w14:paraId="774116B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（3）根据第23条应增加和扣减的索赔金额；</w:t>
      </w:r>
    </w:p>
    <w:p w14:paraId="5E6F093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（4）根据第17.2款约定应支付的预付款和扣减的返还预付款；</w:t>
      </w:r>
    </w:p>
    <w:p w14:paraId="191BEA0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（5）根据第17.4.1项约定应扣减的质量保证金；</w:t>
      </w:r>
    </w:p>
    <w:p w14:paraId="5F423FC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（6）根据合同应增加和扣减的其他金额。</w:t>
      </w:r>
    </w:p>
    <w:p w14:paraId="3F84177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17.3.3 进度付款证书和支付时间</w:t>
      </w:r>
    </w:p>
    <w:p w14:paraId="3CEF106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250220E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（2）发包人应在监理人收到进度付款申请单后的28天内，将进度应付款支付给承包人。发包人不按期支付的，按专用合同条款的约定支付逾期付款违约金。</w:t>
      </w:r>
    </w:p>
    <w:p w14:paraId="0B8142E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（3）监理人出具进度付款证书，不应视为监理人已同意、批准或接受了承包人完成的该部分工作。</w:t>
      </w:r>
    </w:p>
    <w:p w14:paraId="02C7C8A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（4）进度付款涉及政府投资资金的，按照国库集中支付等国家相关规定和专用合同条款的约定办理。</w:t>
      </w:r>
    </w:p>
    <w:p w14:paraId="6DC77E8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17.3.4 工程进度付款的修正</w:t>
      </w:r>
    </w:p>
    <w:p w14:paraId="07A6BE3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在对以往历次已签发的进度付款证书进行汇总和复核中发现错、漏或重复的，监理人有权予以修正，承包人也有权提出修正申请。经双方复核同意的修正，应在本次进度付款中支付或扣除。</w:t>
      </w:r>
    </w:p>
    <w:p w14:paraId="23DBF4D7">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67" w:name="_Toc256000199"/>
      <w:bookmarkEnd w:id="267"/>
      <w:r>
        <w:rPr>
          <w:rStyle w:val="78"/>
          <w:rFonts w:hint="eastAsia" w:ascii="黑体" w:hAnsi="宋体" w:eastAsia="黑体" w:cs="黑体"/>
          <w:kern w:val="2"/>
          <w:sz w:val="28"/>
          <w:szCs w:val="28"/>
          <w:lang w:val="en-US" w:eastAsia="zh-CN" w:bidi="ar"/>
        </w:rPr>
        <w:t>17.4 质量保证金</w:t>
      </w:r>
    </w:p>
    <w:p w14:paraId="3281408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78CF274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17.4.2 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14:paraId="489EE69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17.4.3 在第1.1.4.5目约定的缺陷责任期满时，承包人没有完成缺陷责任的，发包人有权扣留与未履行责任剩余工作所需金额相应的质量保证金余额，并有权根据第19.3款约定要求延长缺陷责任期，直至完成剩余工作为止。 </w:t>
      </w:r>
    </w:p>
    <w:p w14:paraId="1F90E2AF">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68" w:name="_Toc256000200"/>
      <w:bookmarkEnd w:id="268"/>
      <w:r>
        <w:rPr>
          <w:rStyle w:val="78"/>
          <w:rFonts w:hint="eastAsia" w:ascii="黑体" w:hAnsi="宋体" w:eastAsia="黑体" w:cs="黑体"/>
          <w:kern w:val="2"/>
          <w:sz w:val="28"/>
          <w:szCs w:val="28"/>
          <w:lang w:val="en-US" w:eastAsia="zh-CN" w:bidi="ar"/>
        </w:rPr>
        <w:t>17.5 竣工结算</w:t>
      </w:r>
    </w:p>
    <w:p w14:paraId="473C62C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17.5.1 竣工付款申请单</w:t>
      </w:r>
    </w:p>
    <w:p w14:paraId="5131E63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32D79AF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（2）监理人对竣工付款申请单有异议的，有权要求承包人进行修正和提供补充资料。经监理人和承包人协商后，由承包人向监理人提交修正后的竣工付款申请单。</w:t>
      </w:r>
    </w:p>
    <w:p w14:paraId="67D995D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17.5.2 竣工付款证书及支付时间</w:t>
      </w:r>
    </w:p>
    <w:p w14:paraId="3B6F204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0A57340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（2）发包人应在监理人出具竣工付款证书后的14天内，将应支付款支付给承包人。发包人不按期支付的，按第17.3.3（2）目的约定，将逾期付款违约金支付给承包人。</w:t>
      </w:r>
    </w:p>
    <w:p w14:paraId="721E388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（3）承包人对发包人签认的竣工付款证书有异议的，发包人可出具竣工付款申请单中承包人已同意部分的临时付款证书。存在争议的部分，按第24条的约定办理。</w:t>
      </w:r>
    </w:p>
    <w:p w14:paraId="1F90149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（4）竣工付款涉及政府投资资金的，按第17.3.3（４）目的约定办理。</w:t>
      </w:r>
    </w:p>
    <w:p w14:paraId="04A5DF54">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69" w:name="_Toc256000201"/>
      <w:bookmarkEnd w:id="269"/>
      <w:r>
        <w:rPr>
          <w:rStyle w:val="78"/>
          <w:rFonts w:hint="eastAsia" w:ascii="黑体" w:hAnsi="宋体" w:eastAsia="黑体" w:cs="黑体"/>
          <w:kern w:val="2"/>
          <w:sz w:val="28"/>
          <w:szCs w:val="28"/>
          <w:lang w:val="en-US" w:eastAsia="zh-CN" w:bidi="ar"/>
        </w:rPr>
        <w:t>17.6 最终结清</w:t>
      </w:r>
    </w:p>
    <w:p w14:paraId="652C35D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17.6.1 最终结清申请单</w:t>
      </w:r>
    </w:p>
    <w:p w14:paraId="7400B8A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（1）缺陷责任期终止证书签发后，承包人可按专用合同条款约定的份数和期限向监理人提交最终结清申请单，并提供相关证明材料。</w:t>
      </w:r>
    </w:p>
    <w:p w14:paraId="48860C4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（2）发包人对最终结清申请单内容有异议的，有权要求承包人进行修正和提供补充资料，由承包人向监理人提交修正后的最终结清申请单。</w:t>
      </w:r>
    </w:p>
    <w:p w14:paraId="150E169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17.6.2 最终结清证书和支付时间</w:t>
      </w:r>
    </w:p>
    <w:p w14:paraId="3935976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06352D4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（2）发包人应在监理人出具最终结清证书后的14天内，将应支付款支付给承包人。发包人不按期支付的，按第17.3.3（2）目的约定，将逾期付款违约金支付给承包人。</w:t>
      </w:r>
    </w:p>
    <w:p w14:paraId="6100DBD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（3）承包人对发包人签认的最终结清证书有异议的，按第24条的约定办理。</w:t>
      </w:r>
    </w:p>
    <w:p w14:paraId="4FD9C4C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（4）最终结清付款涉及政府投资资金的，按第17.3.3（4）目的约定办理。</w:t>
      </w:r>
    </w:p>
    <w:p w14:paraId="54FDC4DD">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70" w:name="_Toc256000202"/>
      <w:bookmarkEnd w:id="270"/>
      <w:r>
        <w:rPr>
          <w:rStyle w:val="78"/>
          <w:rFonts w:hint="eastAsia" w:ascii="黑体" w:hAnsi="宋体" w:eastAsia="黑体" w:cs="黑体"/>
          <w:b/>
          <w:bCs w:val="0"/>
          <w:kern w:val="2"/>
          <w:sz w:val="28"/>
          <w:szCs w:val="28"/>
          <w:lang w:val="en-US" w:eastAsia="zh-CN" w:bidi="ar"/>
        </w:rPr>
        <w:t>18. 竣工验收</w:t>
      </w:r>
    </w:p>
    <w:p w14:paraId="69EF801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71" w:name="_Toc256000203"/>
      <w:bookmarkEnd w:id="271"/>
      <w:r>
        <w:rPr>
          <w:rStyle w:val="78"/>
          <w:rFonts w:hint="eastAsia" w:ascii="黑体" w:hAnsi="宋体" w:eastAsia="黑体" w:cs="黑体"/>
          <w:kern w:val="2"/>
          <w:sz w:val="28"/>
          <w:szCs w:val="28"/>
          <w:lang w:val="en-US" w:eastAsia="zh-CN" w:bidi="ar"/>
        </w:rPr>
        <w:t>18.1 竣工验收的含义</w:t>
      </w:r>
    </w:p>
    <w:p w14:paraId="483E7E9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18.1.1 竣工验收指承包人完成了全部合同工作后，发包人按合同要求进行的验收。</w:t>
      </w:r>
    </w:p>
    <w:p w14:paraId="33FBFEC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18.1.2 国家验收是政府有关部门根据法律、规范、规程和政策要求，针对发包人全面组织实施的整个工程正式交付投运前的验收。</w:t>
      </w:r>
    </w:p>
    <w:p w14:paraId="47BA71C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18.1.3 需要进行国家验收的，竣工验收是国家验收的一部分。竣工验收所采用的各项验收和评定标准应符合国家验收标准。发包人和承包人为竣工验收提供的各项竣工验收资料应符合国家验收的要求。 </w:t>
      </w:r>
    </w:p>
    <w:p w14:paraId="484055B8">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72" w:name="_Toc256000204"/>
      <w:bookmarkEnd w:id="272"/>
      <w:r>
        <w:rPr>
          <w:rStyle w:val="78"/>
          <w:rFonts w:hint="eastAsia" w:ascii="黑体" w:hAnsi="宋体" w:eastAsia="黑体" w:cs="黑体"/>
          <w:kern w:val="2"/>
          <w:sz w:val="28"/>
          <w:szCs w:val="28"/>
          <w:lang w:val="en-US" w:eastAsia="zh-CN" w:bidi="ar"/>
        </w:rPr>
        <w:t>18.2 竣工验收申请报告</w:t>
      </w:r>
    </w:p>
    <w:p w14:paraId="79499EC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当工程具备以下条件时，承包人即可向监理人报送竣工验收申请报告：</w:t>
      </w:r>
    </w:p>
    <w:p w14:paraId="6F27E20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（1）除监理人同意列入缺陷责任期内完成的尾工（甩项）工程和缺陷修补工作外，合同范围内的全部单位工程以及有关工作，包括合同要求的试验、试运行以及检验和验收均已完成，并符合合同要求；</w:t>
      </w:r>
    </w:p>
    <w:p w14:paraId="5047D7E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（2）已按合同约定的内容和份数备齐了符合要求的竣工资料； </w:t>
      </w:r>
    </w:p>
    <w:p w14:paraId="73CB7C7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（3）已按监理人的要求编制了在缺陷责任期内完成的尾工（甩项）工程和缺陷修补工作清单以及相应施工计划；</w:t>
      </w:r>
    </w:p>
    <w:p w14:paraId="038B18D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（4）监理人要求在竣工验收前应完成的其他工作；</w:t>
      </w:r>
    </w:p>
    <w:p w14:paraId="43EC695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（5）监理人要求提交的竣工验收资料清单。</w:t>
      </w:r>
    </w:p>
    <w:p w14:paraId="72D2907E">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73" w:name="_Toc256000205"/>
      <w:bookmarkEnd w:id="273"/>
      <w:r>
        <w:rPr>
          <w:rStyle w:val="78"/>
          <w:rFonts w:hint="eastAsia" w:ascii="黑体" w:hAnsi="宋体" w:eastAsia="黑体" w:cs="黑体"/>
          <w:kern w:val="2"/>
          <w:sz w:val="28"/>
          <w:szCs w:val="28"/>
          <w:lang w:val="en-US" w:eastAsia="zh-CN" w:bidi="ar"/>
        </w:rPr>
        <w:t>18.3 验收</w:t>
      </w:r>
    </w:p>
    <w:p w14:paraId="5E4EB7C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监理人收到承包人按第18.2款约定提交的竣工验收申请报告后，应审查申请报告的各项内容，并按以下不同情况进行处理。</w:t>
      </w:r>
    </w:p>
    <w:p w14:paraId="4666CEB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18.3.1 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p>
    <w:p w14:paraId="34EF6DE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18.3.2 监理人审查后认为已具备竣工验收条件的，应在收到竣工验收申请报告后的28天内提请发包人进行工程验收。</w:t>
      </w:r>
    </w:p>
    <w:p w14:paraId="2A1FC4C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18.3.3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0914A8B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t>
      </w:r>
    </w:p>
    <w:p w14:paraId="21B27FF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18.3.5 除专用合同条款另有约定外，经验收合格工程的实际竣工日期，以提交竣工验收申请报告的日期为准，并在工程接收证书中写明。</w:t>
      </w:r>
    </w:p>
    <w:p w14:paraId="73D077F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18.3.6 发包人在收到承包人竣工验收申请报告56天后未进行验收的，视为验收合格，实际竣工日期以提交竣工验收申请报告的日期为准，但发包人由于不可抗力不能进行验收的除外。</w:t>
      </w:r>
    </w:p>
    <w:p w14:paraId="1A946382">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74" w:name="_Toc256000206"/>
      <w:bookmarkEnd w:id="274"/>
      <w:r>
        <w:rPr>
          <w:rStyle w:val="78"/>
          <w:rFonts w:hint="eastAsia" w:ascii="黑体" w:hAnsi="宋体" w:eastAsia="黑体" w:cs="黑体"/>
          <w:kern w:val="2"/>
          <w:sz w:val="28"/>
          <w:szCs w:val="28"/>
          <w:lang w:val="en-US" w:eastAsia="zh-CN" w:bidi="ar"/>
        </w:rPr>
        <w:t>18.4 单位工程验收</w:t>
      </w:r>
    </w:p>
    <w:p w14:paraId="2F0EB90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18.4.1 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73B9E9F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18.4.2 发包人在全部工程竣工前，使用已接收的单位工程导致承包人费用增加的，发包人应承担由此增加的费用和（或）工期延误，并支付承包人合理利润。</w:t>
      </w:r>
    </w:p>
    <w:p w14:paraId="723E135C">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75" w:name="_Toc256000207"/>
      <w:bookmarkEnd w:id="275"/>
      <w:r>
        <w:rPr>
          <w:rStyle w:val="78"/>
          <w:rFonts w:hint="eastAsia" w:ascii="黑体" w:hAnsi="宋体" w:eastAsia="黑体" w:cs="黑体"/>
          <w:kern w:val="2"/>
          <w:sz w:val="28"/>
          <w:szCs w:val="28"/>
          <w:lang w:val="en-US" w:eastAsia="zh-CN" w:bidi="ar"/>
        </w:rPr>
        <w:t>18.5 施工期运行</w:t>
      </w:r>
    </w:p>
    <w:p w14:paraId="26DF0CD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18.5.1 施工期运行是指合同工程尚未全部竣工，其中某项或某几项单位工程或工程设备安装已竣工，根据专用合同条款约定，需要投入施工期运行的，经发包人按第18.4款的约定验收合格，证明能确保安全后，才能在施工期投入运行。</w:t>
      </w:r>
    </w:p>
    <w:p w14:paraId="3CBB88A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18.5.2 在施工期运行中发现工程或工程设备损坏或存在缺陷的，由承包人按第19.2款约定进行修复。</w:t>
      </w:r>
    </w:p>
    <w:p w14:paraId="7320CF74">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76" w:name="_Toc256000208"/>
      <w:bookmarkEnd w:id="276"/>
      <w:r>
        <w:rPr>
          <w:rStyle w:val="78"/>
          <w:rFonts w:hint="eastAsia" w:ascii="黑体" w:hAnsi="宋体" w:eastAsia="黑体" w:cs="黑体"/>
          <w:kern w:val="2"/>
          <w:sz w:val="28"/>
          <w:szCs w:val="28"/>
          <w:lang w:val="en-US" w:eastAsia="zh-CN" w:bidi="ar"/>
        </w:rPr>
        <w:t>18.6 试运行</w:t>
      </w:r>
    </w:p>
    <w:p w14:paraId="6A9ECFA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18.6.1 除专用合同条款另有约定外，承包人应按专用合同条款约定进行工程及工程设备试运行，负责提供试运行所需的人员、器材和必要的条件，并承担全部试运行费用。</w:t>
      </w:r>
    </w:p>
    <w:p w14:paraId="13015D9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409AC37F">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77" w:name="_Toc256000209"/>
      <w:bookmarkEnd w:id="277"/>
      <w:r>
        <w:rPr>
          <w:rStyle w:val="78"/>
          <w:rFonts w:hint="eastAsia" w:ascii="黑体" w:hAnsi="宋体" w:eastAsia="黑体" w:cs="黑体"/>
          <w:kern w:val="2"/>
          <w:sz w:val="28"/>
          <w:szCs w:val="28"/>
          <w:lang w:val="en-US" w:eastAsia="zh-CN" w:bidi="ar"/>
        </w:rPr>
        <w:t>18.7 竣工清场</w:t>
      </w:r>
    </w:p>
    <w:p w14:paraId="38E9C92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18.7.1 除合同另有约定外，工程接收证书颁发后，承包人应按以下要求对施工场地进行清理，直至监理人检验合格为止。竣工清场费用由承包人承担。</w:t>
      </w:r>
    </w:p>
    <w:p w14:paraId="643A480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718" w:firstLineChars="342"/>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（1）施工场地内残留的垃圾已全部清除出场；</w:t>
      </w:r>
    </w:p>
    <w:p w14:paraId="1FC8E6F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718" w:firstLineChars="342"/>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（2）临时工程已拆除，场地已按合同要求进行清理、平整或复原；</w:t>
      </w:r>
    </w:p>
    <w:p w14:paraId="2368089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718" w:firstLineChars="342"/>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（3）按合同约定应撤离的承包人设备和剩余的材料，包括废弃的施工设备和材料，已按计划撤离施工场地；</w:t>
      </w:r>
    </w:p>
    <w:p w14:paraId="4C83ECC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718" w:firstLineChars="342"/>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（4）工程建筑物周边及其附近道路、河道的施工堆积物，已按监理人指示全部清理；</w:t>
      </w:r>
    </w:p>
    <w:p w14:paraId="51D9D37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718" w:firstLineChars="342"/>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（5）监理人指示的其他场地清理工作已全部完成。</w:t>
      </w:r>
    </w:p>
    <w:p w14:paraId="2A3DA26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18.7.2 承包人未按监理人的要求恢复临时占地，或者场地清理未达到合同约定的，发包人有权委托其他人恢复或清理，所发生的金额从拟支付给承包人的款项中扣除。</w:t>
      </w:r>
    </w:p>
    <w:p w14:paraId="4206FE2C">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78" w:name="_Toc256000210"/>
      <w:bookmarkEnd w:id="278"/>
      <w:r>
        <w:rPr>
          <w:rStyle w:val="78"/>
          <w:rFonts w:hint="eastAsia" w:ascii="黑体" w:hAnsi="宋体" w:eastAsia="黑体" w:cs="黑体"/>
          <w:kern w:val="2"/>
          <w:sz w:val="28"/>
          <w:szCs w:val="28"/>
          <w:lang w:val="en-US" w:eastAsia="zh-CN" w:bidi="ar"/>
        </w:rPr>
        <w:t>18.8 施工队伍的撤离</w:t>
      </w:r>
    </w:p>
    <w:p w14:paraId="6104736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52E29D7A">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79" w:name="_Toc256000211"/>
      <w:bookmarkEnd w:id="279"/>
      <w:r>
        <w:rPr>
          <w:rStyle w:val="78"/>
          <w:rFonts w:hint="eastAsia" w:ascii="黑体" w:hAnsi="宋体" w:eastAsia="黑体" w:cs="黑体"/>
          <w:b/>
          <w:bCs w:val="0"/>
          <w:kern w:val="2"/>
          <w:sz w:val="28"/>
          <w:szCs w:val="28"/>
          <w:lang w:val="en-US" w:eastAsia="zh-CN" w:bidi="ar"/>
        </w:rPr>
        <w:t>19. 缺陷责任与保修责任</w:t>
      </w:r>
    </w:p>
    <w:p w14:paraId="0E70C602">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80" w:name="_Toc256000212"/>
      <w:bookmarkEnd w:id="280"/>
      <w:r>
        <w:rPr>
          <w:rStyle w:val="78"/>
          <w:rFonts w:hint="eastAsia" w:ascii="黑体" w:hAnsi="宋体" w:eastAsia="黑体" w:cs="黑体"/>
          <w:kern w:val="2"/>
          <w:sz w:val="28"/>
          <w:szCs w:val="28"/>
          <w:lang w:val="en-US" w:eastAsia="zh-CN" w:bidi="ar"/>
        </w:rPr>
        <w:t>19.1 缺陷责任期的起算时间</w:t>
      </w:r>
    </w:p>
    <w:p w14:paraId="48CFDA5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缺陷责任期自实际竣工日期起计算。在全部工程竣工验收前，已经发包人提前验收的单位工程，其缺陷责任期的起算日期相应提前。</w:t>
      </w:r>
    </w:p>
    <w:p w14:paraId="2FD53354">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81" w:name="_Toc256000213"/>
      <w:bookmarkEnd w:id="281"/>
      <w:r>
        <w:rPr>
          <w:rStyle w:val="78"/>
          <w:rFonts w:hint="eastAsia" w:ascii="黑体" w:hAnsi="宋体" w:eastAsia="黑体" w:cs="黑体"/>
          <w:kern w:val="2"/>
          <w:sz w:val="28"/>
          <w:szCs w:val="28"/>
          <w:lang w:val="en-US" w:eastAsia="zh-CN" w:bidi="ar"/>
        </w:rPr>
        <w:t>19.2 缺陷责任</w:t>
      </w:r>
    </w:p>
    <w:p w14:paraId="5922929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19.2.1 承包人应在缺陷责任期内对已交付使用的工程承担缺陷责任。</w:t>
      </w:r>
    </w:p>
    <w:p w14:paraId="4572F68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181CD26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4945B83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19.2.4 承包人不能在合理时间内修复缺陷的，发包人可自行修复或委托其他人修复，所需费用和利润的承担，按第19.2.3项约定办理。</w:t>
      </w:r>
    </w:p>
    <w:p w14:paraId="1B63B7DC">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82" w:name="_Toc256000214"/>
      <w:bookmarkEnd w:id="282"/>
      <w:r>
        <w:rPr>
          <w:rStyle w:val="78"/>
          <w:rFonts w:hint="eastAsia" w:ascii="黑体" w:hAnsi="宋体" w:eastAsia="黑体" w:cs="黑体"/>
          <w:kern w:val="2"/>
          <w:sz w:val="28"/>
          <w:szCs w:val="28"/>
          <w:lang w:val="en-US" w:eastAsia="zh-CN" w:bidi="ar"/>
        </w:rPr>
        <w:t>19.3 缺陷责任期的延长</w:t>
      </w:r>
    </w:p>
    <w:p w14:paraId="294C3E7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由于承包人原因造成某项缺陷或损坏使某项工程或工程设备不能按原定目标使用而需要再次检查、检验和修复的，发包人有权要求承包人相应延长缺陷责任期，但缺陷责任期最长不超过2年。</w:t>
      </w:r>
    </w:p>
    <w:p w14:paraId="1755E224">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83" w:name="_Toc256000215"/>
      <w:bookmarkEnd w:id="283"/>
      <w:r>
        <w:rPr>
          <w:rStyle w:val="78"/>
          <w:rFonts w:hint="eastAsia" w:ascii="黑体" w:hAnsi="宋体" w:eastAsia="黑体" w:cs="黑体"/>
          <w:kern w:val="2"/>
          <w:sz w:val="28"/>
          <w:szCs w:val="28"/>
          <w:lang w:val="en-US" w:eastAsia="zh-CN" w:bidi="ar"/>
        </w:rPr>
        <w:t>19.4 进一步试验和试运行</w:t>
      </w:r>
    </w:p>
    <w:p w14:paraId="4CA43E2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任何一项缺陷或损坏修复后，经检查证明其影响了工程或工程设备的使用性能，承包人应重新进行合同约定的试验和试运行，试验和试运行的全部费用应由责任方承担。</w:t>
      </w:r>
    </w:p>
    <w:p w14:paraId="160B0660">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84" w:name="_Toc256000216"/>
      <w:bookmarkEnd w:id="284"/>
      <w:r>
        <w:rPr>
          <w:rStyle w:val="78"/>
          <w:rFonts w:hint="eastAsia" w:ascii="黑体" w:hAnsi="宋体" w:eastAsia="黑体" w:cs="黑体"/>
          <w:kern w:val="2"/>
          <w:sz w:val="28"/>
          <w:szCs w:val="28"/>
          <w:lang w:val="en-US" w:eastAsia="zh-CN" w:bidi="ar"/>
        </w:rPr>
        <w:t>19.5 承包人的进入权</w:t>
      </w:r>
    </w:p>
    <w:p w14:paraId="03D6EA9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缺陷责任期内承包人为缺陷修复工作需要，有权进入工程现场，但应遵守发包人的保安和保密规定。</w:t>
      </w:r>
    </w:p>
    <w:p w14:paraId="6E91886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85" w:name="_Toc256000217"/>
      <w:bookmarkEnd w:id="285"/>
      <w:r>
        <w:rPr>
          <w:rStyle w:val="78"/>
          <w:rFonts w:hint="eastAsia" w:ascii="黑体" w:hAnsi="宋体" w:eastAsia="黑体" w:cs="黑体"/>
          <w:kern w:val="2"/>
          <w:sz w:val="28"/>
          <w:szCs w:val="28"/>
          <w:lang w:val="en-US" w:eastAsia="zh-CN" w:bidi="ar"/>
        </w:rPr>
        <w:t>19.6 缺陷责任期终止证书</w:t>
      </w:r>
    </w:p>
    <w:p w14:paraId="151C4AD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在第1.1.4.5目约定的缺陷责任期，包括根据第19.3款延长的期限终止后14天内，由监理人向承包人出具经发包人签认的缺陷责任期终止证书，并退还剩余的质量保证金。</w:t>
      </w:r>
    </w:p>
    <w:p w14:paraId="7A02AD19">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86" w:name="_Toc256000218"/>
      <w:bookmarkEnd w:id="286"/>
      <w:r>
        <w:rPr>
          <w:rStyle w:val="78"/>
          <w:rFonts w:hint="eastAsia" w:ascii="黑体" w:hAnsi="宋体" w:eastAsia="黑体" w:cs="黑体"/>
          <w:kern w:val="2"/>
          <w:sz w:val="28"/>
          <w:szCs w:val="28"/>
          <w:lang w:val="en-US" w:eastAsia="zh-CN" w:bidi="ar"/>
        </w:rPr>
        <w:t>19.7 保修责任</w:t>
      </w:r>
    </w:p>
    <w:p w14:paraId="64EC75F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635ED7A1">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87" w:name="_Toc256000219"/>
      <w:bookmarkEnd w:id="287"/>
      <w:r>
        <w:rPr>
          <w:rStyle w:val="78"/>
          <w:rFonts w:hint="eastAsia" w:ascii="黑体" w:hAnsi="宋体" w:eastAsia="黑体" w:cs="黑体"/>
          <w:b/>
          <w:bCs w:val="0"/>
          <w:kern w:val="2"/>
          <w:sz w:val="28"/>
          <w:szCs w:val="28"/>
          <w:lang w:val="en-US" w:eastAsia="zh-CN" w:bidi="ar"/>
        </w:rPr>
        <w:t>20. 保险</w:t>
      </w:r>
    </w:p>
    <w:p w14:paraId="4D32A0E4">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88" w:name="_Toc256000220"/>
      <w:bookmarkEnd w:id="288"/>
      <w:r>
        <w:rPr>
          <w:rStyle w:val="78"/>
          <w:rFonts w:hint="eastAsia" w:ascii="黑体" w:hAnsi="宋体" w:eastAsia="黑体" w:cs="黑体"/>
          <w:kern w:val="2"/>
          <w:sz w:val="28"/>
          <w:szCs w:val="28"/>
          <w:lang w:val="en-US" w:eastAsia="zh-CN" w:bidi="ar"/>
        </w:rPr>
        <w:t>20.1 工程保险</w:t>
      </w:r>
    </w:p>
    <w:p w14:paraId="660E3A4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415ABA8D">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89" w:name="_Toc256000221"/>
      <w:bookmarkEnd w:id="289"/>
      <w:r>
        <w:rPr>
          <w:rStyle w:val="78"/>
          <w:rFonts w:hint="eastAsia" w:ascii="黑体" w:hAnsi="宋体" w:eastAsia="黑体" w:cs="黑体"/>
          <w:kern w:val="2"/>
          <w:sz w:val="28"/>
          <w:szCs w:val="28"/>
          <w:lang w:val="en-US" w:eastAsia="zh-CN" w:bidi="ar"/>
        </w:rPr>
        <w:t>20.2 人员工伤事故的保险</w:t>
      </w:r>
    </w:p>
    <w:p w14:paraId="4908880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20.2.1 承包人员工伤事故的保险</w:t>
      </w:r>
    </w:p>
    <w:p w14:paraId="1266F45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承包人应依照有关法律规定参加工伤保险，为其履行合同所雇佣的全部人员，缴纳工伤保险费，并要求其分包人也进行此项保险。</w:t>
      </w:r>
    </w:p>
    <w:p w14:paraId="40434CA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20.2.2 发包人员工伤事故的保险</w:t>
      </w:r>
    </w:p>
    <w:p w14:paraId="181A8C9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发包人应依照有关法律规定参加工伤保险，为其现场机构雇佣的全部人员，缴纳工伤保险费，并要求其监理人也进行此项保险。</w:t>
      </w:r>
    </w:p>
    <w:p w14:paraId="197DD895">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90" w:name="_Toc256000222"/>
      <w:bookmarkEnd w:id="290"/>
      <w:r>
        <w:rPr>
          <w:rStyle w:val="78"/>
          <w:rFonts w:hint="eastAsia" w:ascii="黑体" w:hAnsi="宋体" w:eastAsia="黑体" w:cs="黑体"/>
          <w:kern w:val="2"/>
          <w:sz w:val="28"/>
          <w:szCs w:val="28"/>
          <w:lang w:val="en-US" w:eastAsia="zh-CN" w:bidi="ar"/>
        </w:rPr>
        <w:t>20.3 人身意外伤害险</w:t>
      </w:r>
    </w:p>
    <w:p w14:paraId="1895B5F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20.3.1 发包人应在整个施工期间为其现场机构雇用的全部人员，投保人身意外伤害险，缴纳保险费，并要求其监理人也进行此项保险。</w:t>
      </w:r>
    </w:p>
    <w:p w14:paraId="01CDC82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20.3.2 承包人应在整个施工期间为其现场机构雇用的全部人员，投保人身意外伤害险，缴纳保险费，并要求其分包人也进行此项保险。</w:t>
      </w:r>
    </w:p>
    <w:p w14:paraId="48D98039">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91" w:name="_Toc256000223"/>
      <w:bookmarkEnd w:id="291"/>
      <w:r>
        <w:rPr>
          <w:rStyle w:val="78"/>
          <w:rFonts w:hint="eastAsia" w:ascii="黑体" w:hAnsi="宋体" w:eastAsia="黑体" w:cs="黑体"/>
          <w:kern w:val="2"/>
          <w:sz w:val="28"/>
          <w:szCs w:val="28"/>
          <w:lang w:val="en-US" w:eastAsia="zh-CN" w:bidi="ar"/>
        </w:rPr>
        <w:t>20.4 第三者责任险</w:t>
      </w:r>
    </w:p>
    <w:p w14:paraId="67A9357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6786D53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20.4.2 在缺陷责任期终止证书颁发前，承包人应以承包人和发包人的共同名义，投保第20.4.1项约定的第三者责任险，其保险费率、保险金额等有关内容在专用合同条款中约定。</w:t>
      </w:r>
    </w:p>
    <w:p w14:paraId="05A3A9A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92" w:name="_Toc256000224"/>
      <w:bookmarkEnd w:id="292"/>
      <w:r>
        <w:rPr>
          <w:rStyle w:val="78"/>
          <w:rFonts w:hint="eastAsia" w:ascii="黑体" w:hAnsi="宋体" w:eastAsia="黑体" w:cs="黑体"/>
          <w:kern w:val="2"/>
          <w:sz w:val="28"/>
          <w:szCs w:val="28"/>
          <w:lang w:val="en-US" w:eastAsia="zh-CN" w:bidi="ar"/>
        </w:rPr>
        <w:t>20.5 其他保险</w:t>
      </w:r>
    </w:p>
    <w:p w14:paraId="2F5E8BA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除专用合同条款另有约定外，承包人应为其施工设备、进场的材料和工程设备等办理保险。</w:t>
      </w:r>
    </w:p>
    <w:p w14:paraId="068835B1">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93" w:name="_Toc256000225"/>
      <w:bookmarkEnd w:id="293"/>
      <w:r>
        <w:rPr>
          <w:rStyle w:val="78"/>
          <w:rFonts w:hint="eastAsia" w:ascii="黑体" w:hAnsi="宋体" w:eastAsia="黑体" w:cs="黑体"/>
          <w:kern w:val="2"/>
          <w:sz w:val="28"/>
          <w:szCs w:val="28"/>
          <w:lang w:val="en-US" w:eastAsia="zh-CN" w:bidi="ar"/>
        </w:rPr>
        <w:t>20.6 对各项保险的一般要求</w:t>
      </w:r>
    </w:p>
    <w:p w14:paraId="36FFAAA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20.6.1 保险凭证</w:t>
      </w:r>
    </w:p>
    <w:p w14:paraId="7085EE3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承包人应在专用合同条款约定的期限内向发包人提交各项保险生效的证据和保险单副本，保险单必须与专用合同条款约定的条件保持一致。</w:t>
      </w:r>
    </w:p>
    <w:p w14:paraId="39A20E2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20.6.2 保险合同条款的变动</w:t>
      </w:r>
    </w:p>
    <w:p w14:paraId="12F9020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承包人需要变动保险合同条款时，应事先征得发包人同意，并通知监理人。保险人作出变动的，承包人应在收到保险人通知后立即通知发包人和监理人。</w:t>
      </w:r>
    </w:p>
    <w:p w14:paraId="7D4FAF7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20.6.3 持续保险</w:t>
      </w:r>
    </w:p>
    <w:p w14:paraId="6E386A5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承包人应与保险人保持联系，使保险人能够随时了解工程实施中的变动，并确保按保险合同条款要求持续保险。</w:t>
      </w:r>
    </w:p>
    <w:p w14:paraId="035F862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20.6.4 保险金不足的补偿</w:t>
      </w:r>
    </w:p>
    <w:p w14:paraId="5D2A285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保险金不足以补偿损失的，应由承包人和（或）发包人按合同约定负责补偿。</w:t>
      </w:r>
    </w:p>
    <w:p w14:paraId="188EE38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20.6.5 未按约定投保的补救</w:t>
      </w:r>
    </w:p>
    <w:p w14:paraId="4FA5718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（1）由于负有投保义务的一方当事人未按合同约定办理保险，或未能使保险持续有效的，另一方当事人可代为办理，所需费用由对方当事人承担。</w:t>
      </w:r>
    </w:p>
    <w:p w14:paraId="4CBAF3B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（2）由于负有投保义务的一方当事人未按合同约定办理某项保险，导致受益人未能得到保险人的赔偿，原应从该项保险得到的保险金应由负有投保义务的一方当事人支付。</w:t>
      </w:r>
    </w:p>
    <w:p w14:paraId="1B38E65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20.6.6 报告义务</w:t>
      </w:r>
    </w:p>
    <w:p w14:paraId="3F2FCB2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当保险事故发生时，投保人应按照保险单规定的条件和期限及时向保险人报告。</w:t>
      </w:r>
    </w:p>
    <w:p w14:paraId="42B3BCAA">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94" w:name="_Toc256000226"/>
      <w:bookmarkEnd w:id="294"/>
      <w:r>
        <w:rPr>
          <w:rStyle w:val="78"/>
          <w:rFonts w:hint="eastAsia" w:ascii="黑体" w:hAnsi="宋体" w:eastAsia="黑体" w:cs="黑体"/>
          <w:b/>
          <w:bCs w:val="0"/>
          <w:kern w:val="2"/>
          <w:sz w:val="28"/>
          <w:szCs w:val="28"/>
          <w:lang w:val="en-US" w:eastAsia="zh-CN" w:bidi="ar"/>
        </w:rPr>
        <w:t>21. 不可抗力</w:t>
      </w:r>
    </w:p>
    <w:p w14:paraId="5F36CE2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95" w:name="_Toc256000227"/>
      <w:bookmarkEnd w:id="295"/>
      <w:r>
        <w:rPr>
          <w:rStyle w:val="78"/>
          <w:rFonts w:hint="eastAsia" w:ascii="黑体" w:hAnsi="宋体" w:eastAsia="黑体" w:cs="黑体"/>
          <w:kern w:val="2"/>
          <w:sz w:val="28"/>
          <w:szCs w:val="28"/>
          <w:lang w:val="en-US" w:eastAsia="zh-CN" w:bidi="ar"/>
        </w:rPr>
        <w:t>21.1 不可抗力的确认</w:t>
      </w:r>
    </w:p>
    <w:p w14:paraId="49FD5A3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4B306B4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112DB962">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96" w:name="_Toc256000228"/>
      <w:bookmarkEnd w:id="296"/>
      <w:r>
        <w:rPr>
          <w:rStyle w:val="78"/>
          <w:rFonts w:hint="eastAsia" w:ascii="黑体" w:hAnsi="宋体" w:eastAsia="黑体" w:cs="黑体"/>
          <w:kern w:val="2"/>
          <w:sz w:val="28"/>
          <w:szCs w:val="28"/>
          <w:lang w:val="en-US" w:eastAsia="zh-CN" w:bidi="ar"/>
        </w:rPr>
        <w:t>21.2 不可抗力的通知</w:t>
      </w:r>
    </w:p>
    <w:p w14:paraId="277591A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21.2.1 合同一方当事人遇到不可抗力事件，使其履行合同义务受到阻碍时，应立即通知合同另一方当事人和监理人，书面说明不可抗力和受阻碍的详细情况，并提供必要的证明。</w:t>
      </w:r>
    </w:p>
    <w:p w14:paraId="794253B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21.2.2 如不可抗力持续发生，合同一方当事人应及时向合同另一方当事人和监理人提交中间报告，说明不可抗力和履行合同受阻的情况，并于不可抗力事件结束后28天内提交最终报告及有关资料。</w:t>
      </w:r>
    </w:p>
    <w:p w14:paraId="12D64363">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97" w:name="_Toc256000229"/>
      <w:bookmarkEnd w:id="297"/>
      <w:r>
        <w:rPr>
          <w:rStyle w:val="78"/>
          <w:rFonts w:hint="eastAsia" w:ascii="黑体" w:hAnsi="宋体" w:eastAsia="黑体" w:cs="黑体"/>
          <w:kern w:val="2"/>
          <w:sz w:val="28"/>
          <w:szCs w:val="28"/>
          <w:lang w:val="en-US" w:eastAsia="zh-CN" w:bidi="ar"/>
        </w:rPr>
        <w:t>21.3 不可抗力后果及其处理</w:t>
      </w:r>
    </w:p>
    <w:p w14:paraId="7BE21BF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21.3.1 不可抗力造成损害的责任</w:t>
      </w:r>
    </w:p>
    <w:p w14:paraId="466A9A2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除专用合同条款另有约定外，不可抗力导致的人员伤亡、财产损失、费用增加和（或）工期延误等后果，由合同双方按以下原则承担：</w:t>
      </w:r>
    </w:p>
    <w:p w14:paraId="1B1A1B1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（1）永久工程，包括已运至施工场地的材料和工程设备的损害，以及因工程损害造成的第三者人员伤亡和财产损失由发包人承担；</w:t>
      </w:r>
    </w:p>
    <w:p w14:paraId="343700D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（2）承包人设备的损坏由承包人承担；</w:t>
      </w:r>
    </w:p>
    <w:p w14:paraId="172CA74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（3）发包人和承包人各自承担其人员伤亡和其他财产损失及其相关费用；</w:t>
      </w:r>
    </w:p>
    <w:p w14:paraId="7FD8867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（4）承包人的停工损失由承包人承担，但停工期间应监理人要求照管工程和清理、修复工程的金额由发包人承担；</w:t>
      </w:r>
    </w:p>
    <w:p w14:paraId="49D805F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（5）不能按期竣工的，应合理延长工期，承包人不需支付逾期竣工违约金。发包人要求赶工的，承包人应采取赶工措施，赶工费用由发包人承担。</w:t>
      </w:r>
    </w:p>
    <w:p w14:paraId="3129DD3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21.3.2 延迟履行期间发生的不可抗力</w:t>
      </w:r>
    </w:p>
    <w:p w14:paraId="7686382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合同一方当事人延迟履行，在延迟履行期间发生不可抗力的，不免除其责任。</w:t>
      </w:r>
    </w:p>
    <w:p w14:paraId="5CEB61D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21.3.3 避免和减少不可抗力损失</w:t>
      </w:r>
    </w:p>
    <w:p w14:paraId="421F90B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不可抗力发生后，发包人和承包人均应采取措施尽量避免和减少损失的扩大，任何一方没有采取有效措施导致损失扩大的，应对扩大的损失承担责任。</w:t>
      </w:r>
    </w:p>
    <w:p w14:paraId="0F1887F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21.3.4 因不可抗力解除合同</w:t>
      </w:r>
    </w:p>
    <w:p w14:paraId="02B627E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1B5DC391">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298" w:name="_Toc256000230"/>
      <w:bookmarkEnd w:id="298"/>
      <w:r>
        <w:rPr>
          <w:rStyle w:val="78"/>
          <w:rFonts w:hint="eastAsia" w:ascii="黑体" w:hAnsi="宋体" w:eastAsia="黑体" w:cs="黑体"/>
          <w:b/>
          <w:bCs w:val="0"/>
          <w:kern w:val="2"/>
          <w:sz w:val="28"/>
          <w:szCs w:val="28"/>
          <w:lang w:val="en-US" w:eastAsia="zh-CN" w:bidi="ar"/>
        </w:rPr>
        <w:t>22. 违约</w:t>
      </w:r>
    </w:p>
    <w:p w14:paraId="720F785A">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299" w:name="_Toc256000231"/>
      <w:bookmarkEnd w:id="299"/>
      <w:r>
        <w:rPr>
          <w:rStyle w:val="78"/>
          <w:rFonts w:hint="eastAsia" w:ascii="黑体" w:hAnsi="宋体" w:eastAsia="黑体" w:cs="黑体"/>
          <w:kern w:val="2"/>
          <w:sz w:val="28"/>
          <w:szCs w:val="28"/>
          <w:lang w:val="en-US" w:eastAsia="zh-CN" w:bidi="ar"/>
        </w:rPr>
        <w:t>22.1 承包人违约</w:t>
      </w:r>
    </w:p>
    <w:p w14:paraId="68794D1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22.1.1 承包人违约的情形</w:t>
      </w:r>
    </w:p>
    <w:p w14:paraId="3838527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在履行合同过程中发生的下列情况属承包人违约：</w:t>
      </w:r>
    </w:p>
    <w:p w14:paraId="76B897E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（1）承包人违反第1.8款或第4.3款的约定，私自将合同的全部或部分权利转让给其他人，或私自将合同的全部或部分义务转移给其他人；</w:t>
      </w:r>
    </w:p>
    <w:p w14:paraId="6C60FAA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（2）承包人违反第5.3款或第6.4款的约定，未经监理人批准，私自将已按合同约定进入施工场地的施工设备、临时设施或材料撤离施工场地；</w:t>
      </w:r>
    </w:p>
    <w:p w14:paraId="3266B95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（3）承包人违反第5.4款的约定使用了不合格材料或工程设备，工程质量达不到标准要求，又拒绝清除不合格工程；</w:t>
      </w:r>
    </w:p>
    <w:p w14:paraId="59B0973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（4）承包人未能按合同进度计划及时完成合同约定的工作，已造成或预期造成工期延误；</w:t>
      </w:r>
    </w:p>
    <w:p w14:paraId="619AB16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（5）承包人在缺陷责任期内，未能对工程接收证书所列的缺陷清单的内容或缺陷责任期内发生的缺陷进行修复，而又拒绝按监理人指示再进行修补；</w:t>
      </w:r>
    </w:p>
    <w:p w14:paraId="204E9F4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（6）承包人无法继续履行或明确表示不履行或实质上已停止履行合同；</w:t>
      </w:r>
    </w:p>
    <w:p w14:paraId="1DB581C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（7）承包人不按合同约定履行义务的其他情况。</w:t>
      </w:r>
    </w:p>
    <w:p w14:paraId="49DA9C4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22.1.2 对承包人违约的处理</w:t>
      </w:r>
    </w:p>
    <w:p w14:paraId="52A86E2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（1）承包人发生第22.1.1（6）目约定的违约情况时，发包人可通知承包人立即解除合同，并按有关法律处理。</w:t>
      </w:r>
    </w:p>
    <w:p w14:paraId="1A9AD82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（2）承包人发生除第22.1.1（6）目约定以外的其他违约情况时，监理人可向承包人发出整改通知，要求其在指定的期限内改正。承包人应承担其违约所引起的费用增加和（或）工期延误。</w:t>
      </w:r>
    </w:p>
    <w:p w14:paraId="3BF6EAB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（3）经检查证明承包人已采取了有效措施纠正违约行为，具备复工条件的，可由监理人签发复工通知复工。</w:t>
      </w:r>
    </w:p>
    <w:p w14:paraId="2ACE825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22.1.3 承包人违约解除合同</w:t>
      </w:r>
    </w:p>
    <w:p w14:paraId="26DC0ED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36C8D88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22.1.4 合同解除后的估价、付款和结清</w:t>
      </w:r>
    </w:p>
    <w:p w14:paraId="5C86D23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（1）合同解除后，监理人按第3.5款商定或确定承包人实际完成工作的价值，以及承包人已提供的材料、施工设备、工程设备和临时工程等的价值。 </w:t>
      </w:r>
    </w:p>
    <w:p w14:paraId="62FD26C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（2）合同解除后，发包人应暂停对承包人的一切付款，查清各项付款和已扣款金额，包括承包人应支付的违约金。 </w:t>
      </w:r>
    </w:p>
    <w:p w14:paraId="4D74783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（3）合同解除后，发包人应按第23.4款的约定向承包人索赔由于解除合同给发包人造成的损失。</w:t>
      </w:r>
    </w:p>
    <w:p w14:paraId="52DB7BA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（4）合同双方确认上述往来款项后，出具最终结清付款证书，结清全部合同款项。</w:t>
      </w:r>
    </w:p>
    <w:p w14:paraId="60C30DA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（5）发包人和承包人未能就解除合同后的结清达成一致而形成争议的，按第24条的约定办理。</w:t>
      </w:r>
    </w:p>
    <w:p w14:paraId="431F883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22.1.5 协议利益的转让</w:t>
      </w:r>
    </w:p>
    <w:p w14:paraId="22D9C04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因承包人违约解除合同的，发包人有权要求承包人将其为实施合同而签订的材料和设备的订货协议或任何服务协议利益转让给发包人，并在解除合同后的14天内，依法办理转让手续。 </w:t>
      </w:r>
    </w:p>
    <w:p w14:paraId="4FE9C32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22.1.6 紧急情况下无能力或不愿进行抢救</w:t>
      </w:r>
    </w:p>
    <w:p w14:paraId="4EC6FFA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35CC8E15">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300" w:name="_Toc256000232"/>
      <w:bookmarkEnd w:id="300"/>
      <w:r>
        <w:rPr>
          <w:rStyle w:val="78"/>
          <w:rFonts w:hint="eastAsia" w:ascii="黑体" w:hAnsi="宋体" w:eastAsia="黑体" w:cs="黑体"/>
          <w:kern w:val="2"/>
          <w:sz w:val="28"/>
          <w:szCs w:val="28"/>
          <w:lang w:val="en-US" w:eastAsia="zh-CN" w:bidi="ar"/>
        </w:rPr>
        <w:t>22.2 发包人违约</w:t>
      </w:r>
    </w:p>
    <w:p w14:paraId="7CF16EE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22.2.1 发包人违约的情形</w:t>
      </w:r>
    </w:p>
    <w:p w14:paraId="32F004B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在履行合同过程中发生的下列情形，属发包人违约：</w:t>
      </w:r>
    </w:p>
    <w:p w14:paraId="5EAF3CF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（1）发包人未能按合同约定支付预付款或合同价款，或拖延、拒绝批准付款申请和支付凭证，导致付款延误的；</w:t>
      </w:r>
    </w:p>
    <w:p w14:paraId="75EAB6F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（2）发包人原因造成停工的；</w:t>
      </w:r>
    </w:p>
    <w:p w14:paraId="3BA7064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（3）监理人无正当理由没有在约定期限内发出复工指示，导致承包人无法复工的；</w:t>
      </w:r>
    </w:p>
    <w:p w14:paraId="5C04D7C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（4）发包人无法继续履行或明确表示不履行或实质上已停止履行合同的；</w:t>
      </w:r>
    </w:p>
    <w:p w14:paraId="2EFFFC5D">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（5）发包人不履行合同约定其他义务的。</w:t>
      </w:r>
    </w:p>
    <w:p w14:paraId="7B4D9C74">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22.2.2 承包人有权暂停施工</w:t>
      </w:r>
    </w:p>
    <w:p w14:paraId="10AF34C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2EB0F29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22.2.3 发包人违约解除合同 </w:t>
      </w:r>
    </w:p>
    <w:p w14:paraId="6FCA302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 xml:space="preserve">（1）发生第22.2.1（4）目的违约情况时，承包人可书面通知发包人解除合同。   </w:t>
      </w:r>
    </w:p>
    <w:p w14:paraId="6729A9C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（2）承包人按22.2.2项暂停施工28天后，发包人仍不纠正违约行为的，承包人可向发包人发出解除合同通知。但承包人的这一行动不免除发包人承担的违约责任，也不影响承包人根据合同约定享有的索赔权利。</w:t>
      </w:r>
    </w:p>
    <w:p w14:paraId="3BCCC9C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22.2.4 解除合同后的付款</w:t>
      </w:r>
    </w:p>
    <w:p w14:paraId="4623654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因发包人违约解除合同的，发包人应在解除合同后28天内向承包人支付下列金额，承包人应在此期限内及时向发包人提交要求支付下列金额的有关资料和凭证：</w:t>
      </w:r>
    </w:p>
    <w:p w14:paraId="10B140E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（1）合同解除日以前所完成工作的价款；</w:t>
      </w:r>
    </w:p>
    <w:p w14:paraId="55659E4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（2）承包人为该工程施工订购并已付款的材料、工程设备和其他物品的金额。发包人付还后，该材料、工程设备和其他物品归发包人所有；</w:t>
      </w:r>
    </w:p>
    <w:p w14:paraId="3893EAB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（3）承包人为完成工程所发生的，而发包人未支付的金额；</w:t>
      </w:r>
    </w:p>
    <w:p w14:paraId="2191715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（4）承包人撤离施工场地以及遣散承包人人员的金额；</w:t>
      </w:r>
    </w:p>
    <w:p w14:paraId="5D580845">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（5）由于解除合同应赔偿的承包人损失；</w:t>
      </w:r>
    </w:p>
    <w:p w14:paraId="0B63AEB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（6）按合同约定在合同解除日前应支付给承包人的其他金额。</w:t>
      </w:r>
    </w:p>
    <w:p w14:paraId="69F91B1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发包人应按本项约定支付上述金额并退还质量保证金和履约担保，但有权要求承包人支付应偿还给发包人的各项金额。</w:t>
      </w:r>
    </w:p>
    <w:p w14:paraId="1680F65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22.2.5 解除合同后的承包人撤离</w:t>
      </w:r>
    </w:p>
    <w:p w14:paraId="305B9F6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2790D26A">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301" w:name="_Toc256000233"/>
      <w:bookmarkEnd w:id="301"/>
      <w:r>
        <w:rPr>
          <w:rStyle w:val="78"/>
          <w:rFonts w:hint="eastAsia" w:ascii="黑体" w:hAnsi="宋体" w:eastAsia="黑体" w:cs="黑体"/>
          <w:kern w:val="2"/>
          <w:sz w:val="28"/>
          <w:szCs w:val="28"/>
          <w:lang w:val="en-US" w:eastAsia="zh-CN" w:bidi="ar"/>
        </w:rPr>
        <w:t>22.3 第三人造成的违约</w:t>
      </w:r>
    </w:p>
    <w:p w14:paraId="6D33F1AA">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在履行合同过程中，一方当事人因第三人的原因造成违约的，应当向对方当事人承担违约责任。一方当事人和第三人之间的纠纷，依照法律规定或者按照约定解决。</w:t>
      </w:r>
    </w:p>
    <w:p w14:paraId="21412584">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黑体"/>
          <w:b/>
          <w:bCs w:val="0"/>
          <w:sz w:val="28"/>
          <w:szCs w:val="28"/>
        </w:rPr>
      </w:pPr>
      <w:bookmarkStart w:id="302" w:name="_Toc256000234"/>
      <w:bookmarkEnd w:id="302"/>
      <w:r>
        <w:rPr>
          <w:rStyle w:val="78"/>
          <w:rFonts w:hint="eastAsia" w:ascii="黑体" w:hAnsi="宋体" w:eastAsia="黑体" w:cs="黑体"/>
          <w:b/>
          <w:bCs w:val="0"/>
          <w:kern w:val="2"/>
          <w:sz w:val="28"/>
          <w:szCs w:val="28"/>
          <w:lang w:val="en-US" w:eastAsia="zh-CN" w:bidi="ar"/>
        </w:rPr>
        <w:t>23. 索赔</w:t>
      </w:r>
    </w:p>
    <w:p w14:paraId="0A0A919A">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303" w:name="_Toc256000235"/>
      <w:bookmarkEnd w:id="303"/>
      <w:r>
        <w:rPr>
          <w:rStyle w:val="78"/>
          <w:rFonts w:hint="eastAsia" w:ascii="黑体" w:hAnsi="宋体" w:eastAsia="黑体" w:cs="黑体"/>
          <w:kern w:val="2"/>
          <w:sz w:val="28"/>
          <w:szCs w:val="28"/>
          <w:lang w:val="en-US" w:eastAsia="zh-CN" w:bidi="ar"/>
        </w:rPr>
        <w:t>23.1 承包人索赔的提出</w:t>
      </w:r>
    </w:p>
    <w:p w14:paraId="5D4E736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根据合同约定，承包人认为有权得到追加付款和（或）延长工期的，应按以下程序向发包人提出索赔：</w:t>
      </w:r>
    </w:p>
    <w:p w14:paraId="1EB1D4D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2ED89A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（2）承包人应在发出索赔意向通知书后28天内，向监理人正式递交索赔通知书。索赔通知</w:t>
      </w:r>
      <w:r>
        <w:rPr>
          <w:rStyle w:val="78"/>
          <w:rFonts w:hint="eastAsia" w:ascii="宋体" w:hAnsi="宋体" w:eastAsia="宋体" w:cs="宋体"/>
          <w:color w:val="auto"/>
          <w:spacing w:val="0"/>
          <w:kern w:val="2"/>
          <w:sz w:val="21"/>
          <w:szCs w:val="21"/>
          <w:lang w:val="en-US" w:eastAsia="zh-CN" w:bidi="ar"/>
        </w:rPr>
        <w:t>书应详细说明索赔理由以及要求追加的付款金额和（或）延长的工期，并附必要的记录和证明材料；</w:t>
      </w:r>
    </w:p>
    <w:p w14:paraId="70989CC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（3）索赔事件具有连续影响的，承包人应按合理时间间隔继续递交延续索赔通知，说明连续影响的实际情况和记录，列出累计的追加付款金额和（或）工期延长天数；</w:t>
      </w:r>
    </w:p>
    <w:p w14:paraId="5678EB6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（4）在索赔事件影响结束后的28天内，承包人应向监理人递交最终索赔通知书，说明最终要求索赔的追加付款金额和延长的工期，并附必要的记录和证明材料。</w:t>
      </w:r>
    </w:p>
    <w:p w14:paraId="154B4060">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304" w:name="_Toc256000236"/>
      <w:bookmarkEnd w:id="304"/>
      <w:r>
        <w:rPr>
          <w:rStyle w:val="78"/>
          <w:rFonts w:hint="eastAsia" w:ascii="黑体" w:hAnsi="宋体" w:eastAsia="黑体" w:cs="黑体"/>
          <w:kern w:val="2"/>
          <w:sz w:val="28"/>
          <w:szCs w:val="28"/>
          <w:lang w:val="en-US" w:eastAsia="zh-CN" w:bidi="ar"/>
        </w:rPr>
        <w:t>23.2 承包人索赔处理程序</w:t>
      </w:r>
    </w:p>
    <w:p w14:paraId="598D5A1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（1）监理人收到承包人提交的索赔通知书后，应及时审查索赔通知书的内容、查验承包人的记录和证明材料，必要时监理人可要求承包人提交全部原始记录副本。</w:t>
      </w:r>
    </w:p>
    <w:p w14:paraId="7CB12C4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（2）监理人应按第3.5款商定或确定追加的付款和（或）延长的工期，并在收到上述索赔通知书或有关索赔的进一步证明材料后的42天内，将索赔处理结果答复承包人。</w:t>
      </w:r>
    </w:p>
    <w:p w14:paraId="2C4C61A1">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359" w:firstLineChars="171"/>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（3）承包人接受索赔处理结果的，发包人应在作出索赔处理结果答复后28天内完成赔付。承包人不接受索赔处理结果的，按第24条的约定办理。</w:t>
      </w:r>
    </w:p>
    <w:p w14:paraId="38F1C26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305" w:name="_Toc256000237"/>
      <w:bookmarkEnd w:id="305"/>
      <w:r>
        <w:rPr>
          <w:rStyle w:val="78"/>
          <w:rFonts w:hint="eastAsia" w:ascii="黑体" w:hAnsi="宋体" w:eastAsia="黑体" w:cs="黑体"/>
          <w:kern w:val="2"/>
          <w:sz w:val="28"/>
          <w:szCs w:val="28"/>
          <w:lang w:val="en-US" w:eastAsia="zh-CN" w:bidi="ar"/>
        </w:rPr>
        <w:t>23.3 承包人提出索赔的期限</w:t>
      </w:r>
    </w:p>
    <w:p w14:paraId="7813E3A3">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23.3.1 承包人按第17.5款的约定接受了竣工付款证书后，应被认为已无权再提出在合同工程接收证书颁发前所发生的任何索赔。</w:t>
      </w:r>
    </w:p>
    <w:p w14:paraId="3B7018E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shd w:val="clear" w:fill="7F7F7F"/>
        </w:rPr>
      </w:pPr>
      <w:r>
        <w:rPr>
          <w:rStyle w:val="78"/>
          <w:rFonts w:hint="eastAsia" w:ascii="宋体" w:hAnsi="宋体" w:eastAsia="宋体" w:cs="宋体"/>
          <w:color w:val="auto"/>
          <w:kern w:val="2"/>
          <w:sz w:val="21"/>
          <w:szCs w:val="21"/>
          <w:lang w:val="en-US" w:eastAsia="zh-CN" w:bidi="ar"/>
        </w:rPr>
        <w:t xml:space="preserve">23.3.2 承包人按第17.6款的约定提交的最终结清申请单中，只限于提出工程接收证书颁发后发生的索赔。提出索赔的期限自接受最终结清证书时终止。 </w:t>
      </w:r>
    </w:p>
    <w:p w14:paraId="42A3A9D7">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306" w:name="_Toc256000238"/>
      <w:bookmarkEnd w:id="306"/>
      <w:r>
        <w:rPr>
          <w:rStyle w:val="78"/>
          <w:rFonts w:hint="eastAsia" w:ascii="黑体" w:hAnsi="宋体" w:eastAsia="黑体" w:cs="黑体"/>
          <w:kern w:val="2"/>
          <w:sz w:val="28"/>
          <w:szCs w:val="28"/>
          <w:lang w:val="en-US" w:eastAsia="zh-CN" w:bidi="ar"/>
        </w:rPr>
        <w:t>23.4 发包人的索赔</w:t>
      </w:r>
    </w:p>
    <w:p w14:paraId="5206C9A8">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028C7A02">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23.4.2 监理人按第3.5款商定或确定发包人从承包人处得到赔付的金额和（或）缺陷责任期的延长期。承包人应付给发包人的金额可从拟支付给承包人的合同价款中扣除，或由承包人以其他方式支付给发包人。</w:t>
      </w:r>
    </w:p>
    <w:p w14:paraId="7C938732">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b/>
          <w:bCs w:val="0"/>
          <w:sz w:val="28"/>
          <w:szCs w:val="28"/>
        </w:rPr>
      </w:pPr>
      <w:bookmarkStart w:id="307" w:name="_Toc256000239"/>
      <w:bookmarkEnd w:id="307"/>
      <w:r>
        <w:rPr>
          <w:rStyle w:val="78"/>
          <w:rFonts w:hint="eastAsia" w:ascii="黑体" w:hAnsi="宋体" w:eastAsia="黑体" w:cs="黑体"/>
          <w:b/>
          <w:bCs w:val="0"/>
          <w:kern w:val="2"/>
          <w:sz w:val="28"/>
          <w:szCs w:val="28"/>
          <w:lang w:val="en-US" w:eastAsia="zh-CN" w:bidi="ar"/>
        </w:rPr>
        <w:t>24. 争议的解决</w:t>
      </w:r>
    </w:p>
    <w:p w14:paraId="1CCC6476">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308" w:name="_Toc256000240"/>
      <w:bookmarkEnd w:id="308"/>
      <w:r>
        <w:rPr>
          <w:rStyle w:val="78"/>
          <w:rFonts w:hint="eastAsia" w:ascii="黑体" w:hAnsi="宋体" w:eastAsia="黑体" w:cs="黑体"/>
          <w:kern w:val="2"/>
          <w:sz w:val="28"/>
          <w:szCs w:val="28"/>
          <w:lang w:val="en-US" w:eastAsia="zh-CN" w:bidi="ar"/>
        </w:rPr>
        <w:t>24.1 争议的解决方式</w:t>
      </w:r>
    </w:p>
    <w:p w14:paraId="265156C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746F659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（1）向约定的仲裁委员会申请仲裁；</w:t>
      </w:r>
    </w:p>
    <w:p w14:paraId="2BC542C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（2）向有管辖权的人民法院提起诉讼。</w:t>
      </w:r>
    </w:p>
    <w:p w14:paraId="11746CE4">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309" w:name="_Toc256000241"/>
      <w:bookmarkEnd w:id="309"/>
      <w:r>
        <w:rPr>
          <w:rStyle w:val="78"/>
          <w:rFonts w:hint="eastAsia" w:ascii="黑体" w:hAnsi="宋体" w:eastAsia="黑体" w:cs="黑体"/>
          <w:kern w:val="2"/>
          <w:sz w:val="28"/>
          <w:szCs w:val="28"/>
          <w:lang w:val="en-US" w:eastAsia="zh-CN" w:bidi="ar"/>
        </w:rPr>
        <w:t>24.2 友好解决</w:t>
      </w:r>
    </w:p>
    <w:p w14:paraId="364F5C79">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在提请争议评审、仲裁或者诉讼前，以及在争议评审、仲裁或诉讼过程中，发包人和承包人均可共同努力友好协商解决争议。</w:t>
      </w:r>
    </w:p>
    <w:p w14:paraId="2746A35E">
      <w:pPr>
        <w:pStyle w:val="19"/>
        <w:keepNext w:val="0"/>
        <w:keepLines w:val="0"/>
        <w:widowControl w:val="0"/>
        <w:suppressLineNumbers w:val="0"/>
        <w:autoSpaceDE w:val="0"/>
        <w:autoSpaceDN/>
        <w:spacing w:before="0" w:beforeAutospacing="0" w:after="0" w:afterAutospacing="0" w:line="400" w:lineRule="exact"/>
        <w:ind w:left="0" w:right="0"/>
        <w:jc w:val="both"/>
        <w:outlineLvl w:val="9"/>
        <w:rPr>
          <w:rFonts w:hint="eastAsia" w:ascii="黑体" w:hAnsi="宋体" w:eastAsia="黑体" w:cs="宋体"/>
          <w:sz w:val="28"/>
          <w:szCs w:val="28"/>
        </w:rPr>
      </w:pPr>
      <w:bookmarkStart w:id="310" w:name="_Toc256000242"/>
      <w:bookmarkEnd w:id="310"/>
      <w:r>
        <w:rPr>
          <w:rStyle w:val="78"/>
          <w:rFonts w:hint="eastAsia" w:ascii="黑体" w:hAnsi="宋体" w:eastAsia="黑体" w:cs="黑体"/>
          <w:kern w:val="2"/>
          <w:sz w:val="28"/>
          <w:szCs w:val="28"/>
          <w:lang w:val="en-US" w:eastAsia="zh-CN" w:bidi="ar"/>
        </w:rPr>
        <w:t>24.3 争议评审</w:t>
      </w:r>
    </w:p>
    <w:p w14:paraId="31256FB7">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24.3.1 采用争议评审的，发包人和承包人应在开工日后的28天内或在争议发生后，协商成立争议评审组。争议评审组由有合同管理和工程实践经验的专家组成。</w:t>
      </w:r>
    </w:p>
    <w:p w14:paraId="57D6C03E">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24.3.2 合同双方的争议，应首先由申请人向争议评审组提交一份详细的评审申请报告，并附必要的文件、图纸和证明材料，申请人还应将上述报告的副本同时提交给被申请人和监理人。</w:t>
      </w:r>
    </w:p>
    <w:p w14:paraId="6BADB74B">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24.3.3 被申请人在收到申请人评审申请报告副本后的28天内，向争议评审组提交一份答辩报告，并附证明材料。被申请人应将答辩报告的副本同时提交给申请人和监理人。</w:t>
      </w:r>
    </w:p>
    <w:p w14:paraId="7DBDE7C0">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24.3.4 除专用合同条款另有约定外，争议评审组在收到合同双方报告后的14天内，邀请双方代表和有关人员举行调查会，向双方调查争议细节；必要时争议评审组可要求双方进一步提供补充材料。</w:t>
      </w:r>
    </w:p>
    <w:p w14:paraId="62E56B56">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16C216CC">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24.3.6 发包人和承包人接受评审意见的，由监理人根据评审意见拟定执行协议，经争议双方签字后作为合同的补充文件，并遵照执行。</w:t>
      </w:r>
    </w:p>
    <w:p w14:paraId="1C3C844F">
      <w:pPr>
        <w:pStyle w:val="19"/>
        <w:keepNext w:val="0"/>
        <w:keepLines w:val="0"/>
        <w:widowControl w:val="0"/>
        <w:suppressLineNumbers w:val="0"/>
        <w:kinsoku/>
        <w:autoSpaceDE w:val="0"/>
        <w:autoSpaceDN/>
        <w:adjustRightInd/>
        <w:snapToGrid/>
        <w:spacing w:before="0" w:beforeAutospacing="0" w:after="0" w:afterAutospacing="0" w:line="400" w:lineRule="exact"/>
        <w:ind w:left="0" w:right="0" w:firstLine="420" w:firstLineChars="200"/>
        <w:jc w:val="both"/>
        <w:textAlignment w:val="auto"/>
        <w:outlineLvl w:val="9"/>
        <w:rPr>
          <w:rFonts w:hint="eastAsia" w:ascii="宋体" w:hAnsi="宋体" w:eastAsia="宋体" w:cs="Times New Roman"/>
        </w:rPr>
      </w:pPr>
      <w:r>
        <w:rPr>
          <w:rStyle w:val="78"/>
          <w:rFonts w:hint="eastAsia" w:ascii="宋体" w:hAnsi="宋体" w:eastAsia="宋体" w:cs="宋体"/>
          <w:color w:val="auto"/>
          <w:kern w:val="2"/>
          <w:sz w:val="21"/>
          <w:szCs w:val="21"/>
          <w:lang w:val="en-US" w:eastAsia="zh-CN" w:bidi="ar"/>
        </w:rPr>
        <w:t>24.3.7 发包人或承包人不接受评审意见，并要求提交仲裁或提起诉讼的，应在收到评审意见后的14天内将仲裁或起诉意向书面通知另一方，并抄送监理人，但在仲裁或诉讼结束前应暂按总监理工程师的确定执行。</w:t>
      </w:r>
    </w:p>
    <w:p w14:paraId="643EFFC0">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331D0B99">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4D48A126">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540BBFB1">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0B670F2D">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3FD5E7B5">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26EA5083">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6CF54606">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5C7284B3">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5F9F3330">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4D1E834A">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3FFFA277">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6470DBF7">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71AEDE52">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3BA94EBE">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5F2677E6">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267B1A86">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7CB336B8">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Arial" w:cs="Arial"/>
          <w:color w:val="000000"/>
          <w:kern w:val="2"/>
          <w:sz w:val="28"/>
          <w:szCs w:val="28"/>
        </w:rPr>
      </w:pPr>
      <w:r>
        <w:rPr>
          <w:rFonts w:hint="default" w:ascii="Times New Roman" w:hAnsi="Times New Roman" w:eastAsia="Arial" w:cs="Arial"/>
          <w:snapToGrid/>
          <w:color w:val="000000"/>
          <w:kern w:val="2"/>
          <w:sz w:val="28"/>
          <w:szCs w:val="28"/>
          <w:lang w:val="en-US" w:eastAsia="zh-CN" w:bidi="ar"/>
        </w:rPr>
        <w:t xml:space="preserve"> </w:t>
      </w:r>
    </w:p>
    <w:p w14:paraId="43FD97AC">
      <w:pPr>
        <w:keepNext w:val="0"/>
        <w:keepLines w:val="0"/>
        <w:widowControl/>
        <w:suppressLineNumbers w:val="0"/>
        <w:kinsoku w:val="0"/>
        <w:autoSpaceDE w:val="0"/>
        <w:autoSpaceDN w:val="0"/>
        <w:adjustRightInd w:val="0"/>
        <w:snapToGrid w:val="0"/>
        <w:spacing w:before="0" w:beforeAutospacing="0" w:after="0" w:afterAutospacing="0" w:line="640" w:lineRule="exact"/>
        <w:ind w:left="0" w:right="0"/>
        <w:jc w:val="center"/>
        <w:textAlignment w:val="baseline"/>
        <w:rPr>
          <w:rFonts w:hint="eastAsia" w:ascii="宋体" w:hAnsi="宋体" w:eastAsia="宋体" w:cs="宋体"/>
          <w:b/>
          <w:bCs/>
          <w:color w:val="000000"/>
          <w:spacing w:val="0"/>
          <w:kern w:val="0"/>
          <w:sz w:val="36"/>
          <w:szCs w:val="36"/>
        </w:rPr>
      </w:pPr>
      <w:r>
        <w:rPr>
          <w:rFonts w:hint="eastAsia" w:ascii="宋体" w:hAnsi="宋体" w:eastAsia="宋体" w:cs="宋体"/>
          <w:b/>
          <w:bCs/>
          <w:snapToGrid/>
          <w:color w:val="000000"/>
          <w:spacing w:val="0"/>
          <w:kern w:val="0"/>
          <w:sz w:val="36"/>
          <w:szCs w:val="36"/>
          <w:lang w:val="en-US" w:eastAsia="zh-CN" w:bidi="ar"/>
        </w:rPr>
        <w:t xml:space="preserve"> </w:t>
      </w:r>
    </w:p>
    <w:p w14:paraId="3A4ED8BD">
      <w:pPr>
        <w:rPr>
          <w:rFonts w:hint="eastAsia" w:ascii="宋体" w:hAnsi="宋体" w:eastAsia="宋体" w:cs="宋体"/>
          <w:b/>
          <w:bCs/>
          <w:snapToGrid/>
          <w:color w:val="000000"/>
          <w:spacing w:val="0"/>
          <w:kern w:val="0"/>
          <w:sz w:val="36"/>
          <w:szCs w:val="36"/>
          <w:lang w:val="en-US" w:eastAsia="zh-CN" w:bidi="ar"/>
        </w:rPr>
      </w:pPr>
      <w:r>
        <w:rPr>
          <w:rFonts w:hint="eastAsia" w:ascii="宋体" w:hAnsi="宋体" w:eastAsia="宋体" w:cs="宋体"/>
          <w:b/>
          <w:bCs/>
          <w:snapToGrid/>
          <w:color w:val="000000"/>
          <w:spacing w:val="0"/>
          <w:kern w:val="0"/>
          <w:sz w:val="36"/>
          <w:szCs w:val="36"/>
          <w:lang w:val="en-US" w:eastAsia="zh-CN" w:bidi="ar"/>
        </w:rPr>
        <w:br w:type="page"/>
      </w:r>
    </w:p>
    <w:p w14:paraId="52CB5388">
      <w:pPr>
        <w:keepNext w:val="0"/>
        <w:keepLines w:val="0"/>
        <w:widowControl/>
        <w:suppressLineNumbers w:val="0"/>
        <w:kinsoku w:val="0"/>
        <w:autoSpaceDE w:val="0"/>
        <w:autoSpaceDN w:val="0"/>
        <w:adjustRightInd w:val="0"/>
        <w:snapToGrid w:val="0"/>
        <w:spacing w:before="0" w:beforeAutospacing="0" w:after="0" w:afterAutospacing="0" w:line="640" w:lineRule="exact"/>
        <w:ind w:left="0" w:right="0"/>
        <w:jc w:val="center"/>
        <w:textAlignment w:val="baseline"/>
        <w:outlineLvl w:val="1"/>
        <w:rPr>
          <w:rFonts w:hint="eastAsia" w:ascii="宋体" w:hAnsi="宋体" w:eastAsia="宋体" w:cs="宋体"/>
          <w:b/>
          <w:bCs/>
          <w:color w:val="000000"/>
          <w:kern w:val="0"/>
          <w:sz w:val="36"/>
          <w:szCs w:val="36"/>
        </w:rPr>
      </w:pPr>
      <w:r>
        <w:rPr>
          <w:rFonts w:hint="eastAsia" w:ascii="宋体" w:hAnsi="宋体" w:eastAsia="宋体" w:cs="宋体"/>
          <w:b/>
          <w:bCs/>
          <w:snapToGrid/>
          <w:color w:val="000000"/>
          <w:spacing w:val="0"/>
          <w:kern w:val="0"/>
          <w:sz w:val="36"/>
          <w:szCs w:val="36"/>
          <w:lang w:val="en-US" w:eastAsia="zh-CN" w:bidi="ar"/>
        </w:rPr>
        <w:t>第二节  专用合同条款</w:t>
      </w:r>
    </w:p>
    <w:p w14:paraId="1903F58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spacing w:val="0"/>
          <w:kern w:val="0"/>
          <w:sz w:val="24"/>
          <w:szCs w:val="24"/>
        </w:rPr>
      </w:pPr>
      <w:r>
        <w:rPr>
          <w:rFonts w:hint="eastAsia" w:ascii="宋体" w:hAnsi="宋体" w:eastAsia="宋体" w:cs="宋体"/>
          <w:snapToGrid/>
          <w:color w:val="000000"/>
          <w:spacing w:val="0"/>
          <w:kern w:val="0"/>
          <w:sz w:val="24"/>
          <w:szCs w:val="24"/>
          <w:lang w:val="en-US" w:eastAsia="zh-CN" w:bidi="ar"/>
        </w:rPr>
        <w:t xml:space="preserve"> </w:t>
      </w:r>
    </w:p>
    <w:p w14:paraId="544B2B8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1.  一般约定</w:t>
      </w:r>
    </w:p>
    <w:p w14:paraId="0441BEC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b w:val="0"/>
          <w:bCs w:val="0"/>
          <w:color w:val="000000"/>
          <w:kern w:val="0"/>
          <w:sz w:val="24"/>
          <w:szCs w:val="24"/>
        </w:rPr>
      </w:pPr>
      <w:r>
        <w:rPr>
          <w:rFonts w:hint="eastAsia" w:ascii="黑体" w:hAnsi="宋体" w:eastAsia="黑体" w:cs="黑体"/>
          <w:b w:val="0"/>
          <w:bCs w:val="0"/>
          <w:snapToGrid/>
          <w:color w:val="000000"/>
          <w:spacing w:val="0"/>
          <w:kern w:val="0"/>
          <w:sz w:val="24"/>
          <w:szCs w:val="24"/>
          <w:lang w:val="en-US" w:eastAsia="zh-CN" w:bidi="ar"/>
        </w:rPr>
        <w:t>1.1  词语定义与解释</w:t>
      </w:r>
    </w:p>
    <w:p w14:paraId="1F8911BC">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1.1.1 合同</w:t>
      </w:r>
    </w:p>
    <w:p w14:paraId="5EF3C881">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20" w:firstLineChars="200"/>
        <w:jc w:val="both"/>
        <w:textAlignment w:val="baseline"/>
        <w:rPr>
          <w:rFonts w:hint="eastAsia" w:ascii="宋体" w:hAnsi="宋体" w:eastAsia="宋体" w:cs="宋体"/>
          <w:color w:val="000000"/>
          <w:kern w:val="0"/>
          <w:sz w:val="24"/>
          <w:szCs w:val="24"/>
        </w:rPr>
      </w:pPr>
      <w:r>
        <w:rPr>
          <w:rFonts w:hint="default" w:ascii="Arial" w:hAnsi="Arial" w:eastAsia="宋体" w:cs="Arial"/>
          <w:snapToGrid/>
          <w:color w:val="000000"/>
          <w:kern w:val="0"/>
          <w:sz w:val="21"/>
          <w:szCs w:val="21"/>
          <w:lang w:val="en-US" w:eastAsia="zh-CN" w:bidi="ar"/>
        </w:rPr>
        <w:fldChar w:fldCharType="begin"/>
      </w:r>
      <w:r>
        <w:rPr>
          <w:rFonts w:hint="default" w:ascii="Arial" w:hAnsi="Arial" w:eastAsia="宋体" w:cs="Arial"/>
          <w:snapToGrid/>
          <w:color w:val="000000"/>
          <w:kern w:val="0"/>
          <w:sz w:val="21"/>
          <w:szCs w:val="21"/>
          <w:lang w:val="en-US" w:eastAsia="zh-CN" w:bidi="ar"/>
        </w:rPr>
        <w:instrText xml:space="preserve"> HYPERLINK "file://D:\\桌面\\1.1.1.9" </w:instrText>
      </w:r>
      <w:r>
        <w:rPr>
          <w:rFonts w:hint="default" w:ascii="Arial" w:hAnsi="Arial" w:eastAsia="宋体" w:cs="Arial"/>
          <w:snapToGrid/>
          <w:color w:val="000000"/>
          <w:kern w:val="0"/>
          <w:sz w:val="21"/>
          <w:szCs w:val="21"/>
          <w:lang w:val="en-US" w:eastAsia="zh-CN" w:bidi="ar"/>
        </w:rPr>
        <w:fldChar w:fldCharType="separate"/>
      </w:r>
      <w:r>
        <w:rPr>
          <w:rStyle w:val="29"/>
          <w:rFonts w:hint="eastAsia" w:ascii="宋体" w:hAnsi="宋体" w:eastAsia="宋体" w:cs="宋体"/>
          <w:color w:val="000000"/>
          <w:spacing w:val="0"/>
          <w:kern w:val="0"/>
          <w:sz w:val="24"/>
          <w:szCs w:val="24"/>
        </w:rPr>
        <w:t>1.1.1.9</w:t>
      </w:r>
      <w:r>
        <w:rPr>
          <w:rFonts w:hint="default" w:ascii="Arial" w:hAnsi="Arial" w:eastAsia="宋体" w:cs="Arial"/>
          <w:snapToGrid/>
          <w:color w:val="000000"/>
          <w:kern w:val="0"/>
          <w:sz w:val="21"/>
          <w:szCs w:val="21"/>
          <w:lang w:val="en-US" w:eastAsia="zh-CN" w:bidi="ar"/>
        </w:rPr>
        <w:fldChar w:fldCharType="end"/>
      </w:r>
      <w:r>
        <w:rPr>
          <w:rFonts w:hint="eastAsia" w:ascii="宋体" w:hAnsi="宋体" w:eastAsia="宋体" w:cs="宋体"/>
          <w:snapToGrid/>
          <w:color w:val="000000"/>
          <w:spacing w:val="0"/>
          <w:kern w:val="0"/>
          <w:sz w:val="24"/>
          <w:szCs w:val="24"/>
          <w:lang w:val="en-US" w:eastAsia="zh-CN" w:bidi="ar"/>
        </w:rPr>
        <w:t xml:space="preserve"> 其他合同文件：指经合同双方当事人约定的与工程有关的具有合同约束力的文件或书面协议。</w:t>
      </w:r>
    </w:p>
    <w:p w14:paraId="7F23BA28">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20" w:firstLineChars="200"/>
        <w:jc w:val="both"/>
        <w:textAlignment w:val="baseline"/>
        <w:rPr>
          <w:rFonts w:hint="eastAsia" w:ascii="宋体" w:hAnsi="宋体" w:eastAsia="宋体" w:cs="宋体"/>
          <w:color w:val="000000"/>
          <w:spacing w:val="0"/>
          <w:kern w:val="0"/>
          <w:sz w:val="24"/>
          <w:szCs w:val="24"/>
        </w:rPr>
      </w:pPr>
      <w:r>
        <w:rPr>
          <w:rFonts w:hint="default" w:ascii="Arial" w:hAnsi="Arial" w:eastAsia="宋体" w:cs="Arial"/>
          <w:snapToGrid/>
          <w:color w:val="000000"/>
          <w:kern w:val="0"/>
          <w:sz w:val="21"/>
          <w:szCs w:val="21"/>
          <w:lang w:val="en-US" w:eastAsia="zh-CN" w:bidi="ar"/>
        </w:rPr>
        <w:fldChar w:fldCharType="begin"/>
      </w:r>
      <w:r>
        <w:rPr>
          <w:rFonts w:hint="default" w:ascii="Arial" w:hAnsi="Arial" w:eastAsia="宋体" w:cs="Arial"/>
          <w:snapToGrid/>
          <w:color w:val="000000"/>
          <w:kern w:val="0"/>
          <w:sz w:val="21"/>
          <w:szCs w:val="21"/>
          <w:lang w:val="en-US" w:eastAsia="zh-CN" w:bidi="ar"/>
        </w:rPr>
        <w:instrText xml:space="preserve"> HYPERLINK "file://D:\\桌面\\1.1.2.2" </w:instrText>
      </w:r>
      <w:r>
        <w:rPr>
          <w:rFonts w:hint="default" w:ascii="Arial" w:hAnsi="Arial" w:eastAsia="宋体" w:cs="Arial"/>
          <w:snapToGrid/>
          <w:color w:val="000000"/>
          <w:kern w:val="0"/>
          <w:sz w:val="21"/>
          <w:szCs w:val="21"/>
          <w:lang w:val="en-US" w:eastAsia="zh-CN" w:bidi="ar"/>
        </w:rPr>
        <w:fldChar w:fldCharType="separate"/>
      </w:r>
      <w:r>
        <w:rPr>
          <w:rStyle w:val="29"/>
          <w:rFonts w:hint="eastAsia" w:ascii="宋体" w:hAnsi="宋体" w:eastAsia="宋体" w:cs="宋体"/>
          <w:color w:val="000000"/>
          <w:spacing w:val="0"/>
          <w:kern w:val="0"/>
          <w:sz w:val="24"/>
          <w:szCs w:val="24"/>
        </w:rPr>
        <w:t>1.1.2.2</w:t>
      </w:r>
      <w:r>
        <w:rPr>
          <w:rFonts w:hint="default" w:ascii="Arial" w:hAnsi="Arial" w:eastAsia="宋体" w:cs="Arial"/>
          <w:snapToGrid/>
          <w:color w:val="000000"/>
          <w:kern w:val="0"/>
          <w:sz w:val="21"/>
          <w:szCs w:val="21"/>
          <w:lang w:val="en-US" w:eastAsia="zh-CN" w:bidi="ar"/>
        </w:rPr>
        <w:fldChar w:fldCharType="end"/>
      </w:r>
      <w:r>
        <w:rPr>
          <w:rFonts w:hint="eastAsia" w:ascii="宋体" w:hAnsi="宋体" w:eastAsia="宋体" w:cs="宋体"/>
          <w:snapToGrid/>
          <w:color w:val="000000"/>
          <w:spacing w:val="0"/>
          <w:kern w:val="0"/>
          <w:sz w:val="24"/>
          <w:szCs w:val="24"/>
          <w:lang w:val="en-US" w:eastAsia="zh-CN" w:bidi="ar"/>
        </w:rPr>
        <w:t xml:space="preserve"> 发包人：指与承包人签订合同协议书的当事人及取得该当事人资格的合法继受人。</w:t>
      </w:r>
    </w:p>
    <w:p w14:paraId="2E2FD866">
      <w:pPr>
        <w:keepNext w:val="0"/>
        <w:keepLines w:val="0"/>
        <w:widowControl/>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sz w:val="24"/>
          <w:szCs w:val="24"/>
        </w:rPr>
      </w:pPr>
      <w:r>
        <w:rPr>
          <w:rStyle w:val="78"/>
          <w:rFonts w:hint="eastAsia" w:ascii="宋体" w:hAnsi="宋体" w:eastAsia="宋体" w:cs="宋体"/>
          <w:color w:val="000000"/>
          <w:sz w:val="24"/>
          <w:szCs w:val="24"/>
          <w:lang w:val="en-US" w:eastAsia="zh-CN" w:bidi="ar"/>
        </w:rPr>
        <w:t>1.1.2.6 监理人</w:t>
      </w:r>
    </w:p>
    <w:p w14:paraId="5ABA8473">
      <w:pPr>
        <w:keepNext w:val="0"/>
        <w:keepLines w:val="0"/>
        <w:widowControl/>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名称：</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w:t>
      </w:r>
    </w:p>
    <w:p w14:paraId="60B40C3D">
      <w:pPr>
        <w:keepNext w:val="0"/>
        <w:keepLines w:val="0"/>
        <w:widowControl/>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资质类别和等级：</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w:t>
      </w:r>
    </w:p>
    <w:p w14:paraId="569362E9">
      <w:pPr>
        <w:keepNext w:val="0"/>
        <w:keepLines w:val="0"/>
        <w:widowControl/>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color w:val="000000"/>
          <w:spacing w:val="0"/>
          <w:kern w:val="0"/>
          <w:sz w:val="24"/>
          <w:szCs w:val="24"/>
        </w:rPr>
      </w:pPr>
      <w:r>
        <w:rPr>
          <w:rFonts w:hint="eastAsia" w:ascii="宋体" w:hAnsi="宋体" w:eastAsia="宋体" w:cs="宋体"/>
          <w:snapToGrid/>
          <w:color w:val="000000"/>
          <w:kern w:val="0"/>
          <w:sz w:val="24"/>
          <w:szCs w:val="24"/>
          <w:lang w:val="en-US" w:eastAsia="zh-CN" w:bidi="ar"/>
        </w:rPr>
        <w:t>联系电话：</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w:t>
      </w:r>
    </w:p>
    <w:p w14:paraId="4FF30D0B">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1.1.3 工程和设备</w:t>
      </w:r>
    </w:p>
    <w:p w14:paraId="20BB1055">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1.1.3.9 作为施工现场组成部分的其他场所包括：</w:t>
      </w:r>
      <w:r>
        <w:rPr>
          <w:rFonts w:hint="eastAsia" w:ascii="宋体" w:hAnsi="宋体" w:eastAsia="宋体" w:cs="宋体"/>
          <w:snapToGrid/>
          <w:color w:val="000000"/>
          <w:kern w:val="0"/>
          <w:sz w:val="24"/>
          <w:szCs w:val="24"/>
          <w:u w:val="single"/>
          <w:lang w:val="en-US" w:eastAsia="zh-CN" w:bidi="ar"/>
        </w:rPr>
        <w:t>符合合同通用条款提供的其他场所</w:t>
      </w:r>
      <w:r>
        <w:rPr>
          <w:rFonts w:hint="eastAsia" w:ascii="宋体" w:hAnsi="宋体" w:eastAsia="宋体" w:cs="宋体"/>
          <w:snapToGrid/>
          <w:color w:val="000000"/>
          <w:kern w:val="0"/>
          <w:sz w:val="24"/>
          <w:szCs w:val="24"/>
          <w:lang w:val="en-US" w:eastAsia="zh-CN" w:bidi="ar"/>
        </w:rPr>
        <w:t>。</w:t>
      </w:r>
    </w:p>
    <w:p w14:paraId="2CA1743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1.1.3.10 永久占地包括：</w:t>
      </w:r>
      <w:r>
        <w:rPr>
          <w:rFonts w:hint="eastAsia" w:ascii="宋体" w:hAnsi="宋体" w:eastAsia="宋体" w:cs="宋体"/>
          <w:snapToGrid/>
          <w:color w:val="000000"/>
          <w:kern w:val="0"/>
          <w:sz w:val="24"/>
          <w:szCs w:val="24"/>
          <w:u w:val="single"/>
          <w:lang w:val="en-US" w:eastAsia="zh-CN" w:bidi="ar"/>
        </w:rPr>
        <w:t>项目用地红线内及设计图纸确定的范围</w:t>
      </w:r>
      <w:r>
        <w:rPr>
          <w:rFonts w:hint="eastAsia" w:ascii="宋体" w:hAnsi="宋体" w:eastAsia="宋体" w:cs="宋体"/>
          <w:snapToGrid/>
          <w:color w:val="000000"/>
          <w:kern w:val="0"/>
          <w:sz w:val="24"/>
          <w:szCs w:val="24"/>
          <w:lang w:val="en-US" w:eastAsia="zh-CN" w:bidi="ar"/>
        </w:rPr>
        <w:t>。</w:t>
      </w:r>
    </w:p>
    <w:p w14:paraId="1EBE4F18">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1.1.3.11 临时占地包括：</w:t>
      </w:r>
      <w:r>
        <w:rPr>
          <w:rFonts w:hint="eastAsia" w:ascii="宋体" w:hAnsi="宋体" w:eastAsia="宋体" w:cs="宋体"/>
          <w:snapToGrid/>
          <w:color w:val="000000"/>
          <w:kern w:val="0"/>
          <w:sz w:val="24"/>
          <w:szCs w:val="24"/>
          <w:u w:val="single"/>
          <w:lang w:val="en-US" w:eastAsia="zh-CN" w:bidi="ar"/>
        </w:rPr>
        <w:t>经发包人及监理人批准的施工临时占用场地</w:t>
      </w:r>
      <w:r>
        <w:rPr>
          <w:rFonts w:hint="eastAsia" w:ascii="宋体" w:hAnsi="宋体" w:eastAsia="宋体" w:cs="宋体"/>
          <w:snapToGrid/>
          <w:color w:val="000000"/>
          <w:kern w:val="0"/>
          <w:sz w:val="24"/>
          <w:szCs w:val="24"/>
          <w:lang w:val="en-US" w:eastAsia="zh-CN" w:bidi="ar"/>
        </w:rPr>
        <w:t>。</w:t>
      </w:r>
    </w:p>
    <w:p w14:paraId="14725D3F">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1.3  法律、标准及规范</w:t>
      </w:r>
    </w:p>
    <w:p w14:paraId="192128E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适用于工程的特别的标准规范包括：</w:t>
      </w:r>
      <w:r>
        <w:rPr>
          <w:rFonts w:hint="eastAsia" w:ascii="宋体" w:hAnsi="宋体" w:eastAsia="宋体" w:cs="宋体"/>
          <w:snapToGrid/>
          <w:color w:val="000000"/>
          <w:kern w:val="0"/>
          <w:sz w:val="24"/>
          <w:szCs w:val="24"/>
          <w:u w:val="single"/>
          <w:lang w:val="en-US" w:eastAsia="zh-CN" w:bidi="ar"/>
        </w:rPr>
        <w:t>国家、省、市、县建设行政管理部门（含其授权的工程造价管理机构）和政府有关部门颁布的政策性文件</w:t>
      </w:r>
      <w:r>
        <w:rPr>
          <w:rFonts w:hint="eastAsia" w:ascii="宋体" w:hAnsi="宋体" w:eastAsia="宋体" w:cs="宋体"/>
          <w:snapToGrid/>
          <w:color w:val="000000"/>
          <w:spacing w:val="0"/>
          <w:kern w:val="0"/>
          <w:sz w:val="24"/>
          <w:szCs w:val="24"/>
          <w:lang w:val="en-US" w:eastAsia="zh-CN" w:bidi="ar"/>
        </w:rPr>
        <w:t>。</w:t>
      </w:r>
    </w:p>
    <w:p w14:paraId="6B5CC926">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1.6  图纸和承包人文件</w:t>
      </w:r>
    </w:p>
    <w:p w14:paraId="7F5CD38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bookmarkStart w:id="311" w:name="_Toc256000095"/>
      <w:bookmarkEnd w:id="311"/>
      <w:r>
        <w:rPr>
          <w:rFonts w:hint="eastAsia" w:ascii="宋体" w:hAnsi="宋体" w:eastAsia="宋体" w:cs="宋体"/>
          <w:snapToGrid/>
          <w:color w:val="000000"/>
          <w:kern w:val="0"/>
          <w:sz w:val="24"/>
          <w:szCs w:val="24"/>
          <w:lang w:val="en-US" w:eastAsia="zh-CN" w:bidi="ar"/>
        </w:rPr>
        <w:t>1.6.1 图纸的提供</w:t>
      </w:r>
    </w:p>
    <w:p w14:paraId="7B91E3E9">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发包人向承包人提供图纸的期限：</w:t>
      </w:r>
      <w:r>
        <w:rPr>
          <w:rFonts w:hint="eastAsia" w:ascii="宋体" w:hAnsi="宋体" w:eastAsia="宋体" w:cs="宋体"/>
          <w:snapToGrid/>
          <w:color w:val="000000"/>
          <w:kern w:val="0"/>
          <w:sz w:val="24"/>
          <w:szCs w:val="24"/>
          <w:u w:val="single"/>
          <w:lang w:val="en-US" w:eastAsia="zh-CN" w:bidi="ar"/>
        </w:rPr>
        <w:t>合同签订后3天内</w:t>
      </w:r>
      <w:r>
        <w:rPr>
          <w:rFonts w:hint="eastAsia" w:ascii="宋体" w:hAnsi="宋体" w:eastAsia="宋体" w:cs="宋体"/>
          <w:snapToGrid/>
          <w:color w:val="000000"/>
          <w:kern w:val="0"/>
          <w:sz w:val="24"/>
          <w:szCs w:val="24"/>
          <w:lang w:val="en-US" w:eastAsia="zh-CN" w:bidi="ar"/>
        </w:rPr>
        <w:t>；</w:t>
      </w:r>
    </w:p>
    <w:p w14:paraId="7AB09165">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发包人向承包人提供图纸的数量：</w:t>
      </w:r>
      <w:r>
        <w:rPr>
          <w:rFonts w:hint="eastAsia" w:ascii="宋体" w:hAnsi="宋体" w:eastAsia="宋体" w:cs="宋体"/>
          <w:snapToGrid/>
          <w:color w:val="000000"/>
          <w:kern w:val="0"/>
          <w:sz w:val="24"/>
          <w:szCs w:val="24"/>
          <w:u w:val="single"/>
          <w:lang w:val="en-US" w:eastAsia="zh-CN" w:bidi="ar"/>
        </w:rPr>
        <w:t xml:space="preserve"> 2套 </w:t>
      </w:r>
      <w:r>
        <w:rPr>
          <w:rFonts w:hint="eastAsia" w:ascii="宋体" w:hAnsi="宋体" w:eastAsia="宋体" w:cs="宋体"/>
          <w:snapToGrid/>
          <w:color w:val="000000"/>
          <w:kern w:val="0"/>
          <w:sz w:val="24"/>
          <w:szCs w:val="24"/>
          <w:lang w:val="en-US" w:eastAsia="zh-CN" w:bidi="ar"/>
        </w:rPr>
        <w:t>；</w:t>
      </w:r>
    </w:p>
    <w:p w14:paraId="5C3AD5D5">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发包人向承包人提供图纸的内容：</w:t>
      </w:r>
      <w:r>
        <w:rPr>
          <w:rFonts w:hint="eastAsia" w:ascii="宋体" w:hAnsi="宋体" w:eastAsia="宋体" w:cs="宋体"/>
          <w:snapToGrid/>
          <w:color w:val="000000"/>
          <w:kern w:val="0"/>
          <w:sz w:val="24"/>
          <w:szCs w:val="24"/>
          <w:u w:val="single"/>
          <w:lang w:val="en-US" w:eastAsia="zh-CN" w:bidi="ar"/>
        </w:rPr>
        <w:t xml:space="preserve"> 施工图 </w:t>
      </w:r>
      <w:r>
        <w:rPr>
          <w:rFonts w:hint="eastAsia" w:ascii="宋体" w:hAnsi="宋体" w:eastAsia="宋体" w:cs="宋体"/>
          <w:snapToGrid/>
          <w:color w:val="000000"/>
          <w:kern w:val="0"/>
          <w:sz w:val="24"/>
          <w:szCs w:val="24"/>
          <w:lang w:val="en-US" w:eastAsia="zh-CN" w:bidi="ar"/>
        </w:rPr>
        <w:t>。</w:t>
      </w:r>
    </w:p>
    <w:p w14:paraId="6122238E">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1.6.2 承包人文件</w:t>
      </w:r>
    </w:p>
    <w:p w14:paraId="02AEAC7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需要由承包人提供的文件，包括：</w:t>
      </w:r>
      <w:r>
        <w:rPr>
          <w:rFonts w:hint="eastAsia" w:ascii="宋体" w:hAnsi="宋体" w:eastAsia="宋体" w:cs="宋体"/>
          <w:snapToGrid/>
          <w:color w:val="000000"/>
          <w:kern w:val="0"/>
          <w:sz w:val="24"/>
          <w:szCs w:val="24"/>
          <w:u w:val="single"/>
          <w:lang w:val="en-US" w:eastAsia="zh-CN" w:bidi="ar"/>
        </w:rPr>
        <w:t>1、施工组织方案；2、进度计划（横道图或网络图）；3、承包人企业资质及现场管理机构人员资质资料、技术资料、各类施工组织设计专项方案、审查结论书及隐蔽工程验收记录，竣工验收资料及技术保证资料、实验检验报告等；4、用工合同；5、付款周期（按月、季、年度）承包人依照用工合同（与用工人员签订的）中约定的比例向农民工支付工资的凭证及相关资料等</w:t>
      </w:r>
      <w:r>
        <w:rPr>
          <w:rFonts w:hint="eastAsia" w:ascii="宋体" w:hAnsi="宋体" w:eastAsia="宋体" w:cs="宋体"/>
          <w:snapToGrid/>
          <w:color w:val="000000"/>
          <w:kern w:val="0"/>
          <w:sz w:val="24"/>
          <w:szCs w:val="24"/>
          <w:lang w:val="en-US" w:eastAsia="zh-CN" w:bidi="ar"/>
        </w:rPr>
        <w:t>；</w:t>
      </w:r>
    </w:p>
    <w:p w14:paraId="0197198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承包人提供的文件的期限为：</w:t>
      </w:r>
      <w:r>
        <w:rPr>
          <w:rFonts w:hint="eastAsia" w:ascii="宋体" w:hAnsi="宋体" w:eastAsia="宋体" w:cs="宋体"/>
          <w:snapToGrid/>
          <w:color w:val="000000"/>
          <w:kern w:val="0"/>
          <w:sz w:val="24"/>
          <w:szCs w:val="24"/>
          <w:u w:val="single"/>
          <w:lang w:val="en-US" w:eastAsia="zh-CN" w:bidi="ar"/>
        </w:rPr>
        <w:t>施工前、隐蔽前及竣工交工验收时</w:t>
      </w:r>
      <w:r>
        <w:rPr>
          <w:rFonts w:hint="eastAsia" w:ascii="宋体" w:hAnsi="宋体" w:eastAsia="宋体" w:cs="宋体"/>
          <w:snapToGrid/>
          <w:color w:val="000000"/>
          <w:kern w:val="0"/>
          <w:sz w:val="24"/>
          <w:szCs w:val="24"/>
          <w:lang w:val="en-US" w:eastAsia="zh-CN" w:bidi="ar"/>
        </w:rPr>
        <w:t>；</w:t>
      </w:r>
    </w:p>
    <w:p w14:paraId="2CE3085E">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承包人提供的文件的数量为：</w:t>
      </w:r>
      <w:r>
        <w:rPr>
          <w:rFonts w:hint="eastAsia" w:ascii="宋体" w:hAnsi="宋体" w:eastAsia="宋体" w:cs="宋体"/>
          <w:snapToGrid/>
          <w:color w:val="000000"/>
          <w:kern w:val="0"/>
          <w:sz w:val="24"/>
          <w:szCs w:val="24"/>
          <w:u w:val="single"/>
          <w:lang w:val="en-US" w:eastAsia="zh-CN" w:bidi="ar"/>
        </w:rPr>
        <w:t>2套</w:t>
      </w:r>
      <w:r>
        <w:rPr>
          <w:rFonts w:hint="eastAsia" w:ascii="宋体" w:hAnsi="宋体" w:eastAsia="宋体" w:cs="宋体"/>
          <w:snapToGrid/>
          <w:color w:val="000000"/>
          <w:kern w:val="0"/>
          <w:sz w:val="24"/>
          <w:szCs w:val="24"/>
          <w:lang w:val="en-US" w:eastAsia="zh-CN" w:bidi="ar"/>
        </w:rPr>
        <w:t>；</w:t>
      </w:r>
    </w:p>
    <w:p w14:paraId="47459FD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承包人提供的文件的形式为：</w:t>
      </w:r>
      <w:r>
        <w:rPr>
          <w:rFonts w:hint="eastAsia" w:ascii="宋体" w:hAnsi="宋体" w:eastAsia="宋体" w:cs="宋体"/>
          <w:snapToGrid/>
          <w:color w:val="000000"/>
          <w:kern w:val="0"/>
          <w:sz w:val="24"/>
          <w:szCs w:val="24"/>
          <w:u w:val="single"/>
          <w:lang w:val="en-US" w:eastAsia="zh-CN" w:bidi="ar"/>
        </w:rPr>
        <w:t>书面文件及电子文件</w:t>
      </w:r>
      <w:r>
        <w:rPr>
          <w:rFonts w:hint="eastAsia" w:ascii="宋体" w:hAnsi="宋体" w:eastAsia="宋体" w:cs="宋体"/>
          <w:snapToGrid/>
          <w:color w:val="000000"/>
          <w:kern w:val="0"/>
          <w:sz w:val="24"/>
          <w:szCs w:val="24"/>
          <w:lang w:val="en-US" w:eastAsia="zh-CN" w:bidi="ar"/>
        </w:rPr>
        <w:t>；</w:t>
      </w:r>
    </w:p>
    <w:p w14:paraId="272C026C">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发包人审批承包人文件的期限：</w:t>
      </w:r>
      <w:r>
        <w:rPr>
          <w:rFonts w:hint="eastAsia" w:ascii="宋体" w:hAnsi="宋体" w:eastAsia="宋体" w:cs="宋体"/>
          <w:snapToGrid/>
          <w:color w:val="000000"/>
          <w:kern w:val="0"/>
          <w:sz w:val="24"/>
          <w:szCs w:val="24"/>
          <w:u w:val="single"/>
          <w:lang w:val="en-US" w:eastAsia="zh-CN" w:bidi="ar"/>
        </w:rPr>
        <w:t>7天</w:t>
      </w:r>
      <w:r>
        <w:rPr>
          <w:rFonts w:hint="eastAsia" w:ascii="宋体" w:hAnsi="宋体" w:eastAsia="宋体" w:cs="宋体"/>
          <w:snapToGrid/>
          <w:color w:val="000000"/>
          <w:kern w:val="0"/>
          <w:sz w:val="24"/>
          <w:szCs w:val="24"/>
          <w:lang w:val="en-US" w:eastAsia="zh-CN" w:bidi="ar"/>
        </w:rPr>
        <w:t>。</w:t>
      </w:r>
    </w:p>
    <w:p w14:paraId="4CEE1C28">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sz w:val="24"/>
          <w:szCs w:val="24"/>
        </w:rPr>
      </w:pPr>
      <w:r>
        <w:rPr>
          <w:rStyle w:val="78"/>
          <w:rFonts w:hint="eastAsia" w:ascii="黑体" w:hAnsi="宋体" w:eastAsia="黑体" w:cs="黑体"/>
          <w:color w:val="000000"/>
          <w:sz w:val="24"/>
          <w:szCs w:val="24"/>
          <w:lang w:val="en-US" w:eastAsia="zh-CN" w:bidi="ar"/>
        </w:rPr>
        <w:t>1.7  联络</w:t>
      </w:r>
    </w:p>
    <w:p w14:paraId="374D92E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1.7.1 发包人和承包人应当在</w:t>
      </w:r>
      <w:r>
        <w:rPr>
          <w:rFonts w:hint="eastAsia" w:ascii="宋体" w:hAnsi="宋体" w:eastAsia="宋体" w:cs="宋体"/>
          <w:snapToGrid/>
          <w:color w:val="000000"/>
          <w:kern w:val="0"/>
          <w:sz w:val="24"/>
          <w:szCs w:val="24"/>
          <w:u w:val="single"/>
          <w:lang w:val="en-US" w:eastAsia="zh-CN" w:bidi="ar"/>
        </w:rPr>
        <w:t xml:space="preserve"> 2 </w:t>
      </w:r>
      <w:r>
        <w:rPr>
          <w:rFonts w:hint="eastAsia" w:ascii="宋体" w:hAnsi="宋体" w:eastAsia="宋体" w:cs="宋体"/>
          <w:snapToGrid/>
          <w:color w:val="000000"/>
          <w:kern w:val="0"/>
          <w:sz w:val="24"/>
          <w:szCs w:val="24"/>
          <w:lang w:val="en-US" w:eastAsia="zh-CN" w:bidi="ar"/>
        </w:rPr>
        <w:t>天内将与合同有关的通知、批准、证明、证书、指示、指令、要求、请求、同意、意见、确定和决定等书面函件送达对方当事人。</w:t>
      </w:r>
    </w:p>
    <w:p w14:paraId="7EF238FE">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1.7.2 发包人接收文件的地点：</w:t>
      </w:r>
      <w:r>
        <w:rPr>
          <w:rFonts w:hint="eastAsia" w:ascii="宋体" w:hAnsi="宋体" w:eastAsia="宋体" w:cs="宋体"/>
          <w:snapToGrid/>
          <w:color w:val="000000"/>
          <w:kern w:val="0"/>
          <w:sz w:val="24"/>
          <w:szCs w:val="24"/>
          <w:u w:val="single"/>
          <w:lang w:val="en-US" w:eastAsia="zh-CN" w:bidi="ar"/>
        </w:rPr>
        <w:t>发包人项目部办公室</w:t>
      </w:r>
      <w:r>
        <w:rPr>
          <w:rFonts w:hint="eastAsia" w:ascii="宋体" w:hAnsi="宋体" w:eastAsia="宋体" w:cs="宋体"/>
          <w:snapToGrid/>
          <w:color w:val="000000"/>
          <w:kern w:val="0"/>
          <w:sz w:val="24"/>
          <w:szCs w:val="24"/>
          <w:lang w:val="en-US" w:eastAsia="zh-CN" w:bidi="ar"/>
        </w:rPr>
        <w:t>；</w:t>
      </w:r>
    </w:p>
    <w:p w14:paraId="19E885B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发包人指定的接收人为：</w:t>
      </w:r>
      <w:r>
        <w:rPr>
          <w:rFonts w:hint="eastAsia" w:ascii="宋体" w:hAnsi="宋体" w:eastAsia="宋体" w:cs="宋体"/>
          <w:snapToGrid/>
          <w:color w:val="000000"/>
          <w:kern w:val="0"/>
          <w:sz w:val="24"/>
          <w:szCs w:val="24"/>
          <w:u w:val="single"/>
          <w:lang w:val="en-US" w:eastAsia="zh-CN" w:bidi="ar"/>
        </w:rPr>
        <w:t xml:space="preserve"> 石俊伟         </w:t>
      </w:r>
      <w:r>
        <w:rPr>
          <w:rFonts w:hint="eastAsia" w:ascii="宋体" w:hAnsi="宋体" w:eastAsia="宋体" w:cs="宋体"/>
          <w:snapToGrid/>
          <w:color w:val="000000"/>
          <w:kern w:val="0"/>
          <w:sz w:val="24"/>
          <w:szCs w:val="24"/>
          <w:lang w:val="en-US" w:eastAsia="zh-CN" w:bidi="ar"/>
        </w:rPr>
        <w:t>。</w:t>
      </w:r>
    </w:p>
    <w:p w14:paraId="6F7B98B7">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承包人接收文件的地点：</w:t>
      </w:r>
      <w:r>
        <w:rPr>
          <w:rFonts w:hint="eastAsia" w:ascii="宋体" w:hAnsi="宋体" w:eastAsia="宋体" w:cs="宋体"/>
          <w:snapToGrid/>
          <w:color w:val="000000"/>
          <w:kern w:val="0"/>
          <w:sz w:val="24"/>
          <w:szCs w:val="24"/>
          <w:u w:val="single"/>
          <w:lang w:val="en-US" w:eastAsia="zh-CN" w:bidi="ar"/>
        </w:rPr>
        <w:t>承包人现场办公室</w:t>
      </w:r>
      <w:r>
        <w:rPr>
          <w:rFonts w:hint="eastAsia" w:ascii="宋体" w:hAnsi="宋体" w:eastAsia="宋体" w:cs="宋体"/>
          <w:snapToGrid/>
          <w:color w:val="000000"/>
          <w:kern w:val="0"/>
          <w:sz w:val="24"/>
          <w:szCs w:val="24"/>
          <w:lang w:val="en-US" w:eastAsia="zh-CN" w:bidi="ar"/>
        </w:rPr>
        <w:t>；</w:t>
      </w:r>
    </w:p>
    <w:p w14:paraId="17C1380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承包人指定的接收人为：</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w:t>
      </w:r>
    </w:p>
    <w:p w14:paraId="1F82E1B8">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监理人接收文件的地点：</w:t>
      </w:r>
      <w:r>
        <w:rPr>
          <w:rFonts w:hint="eastAsia" w:ascii="宋体" w:hAnsi="宋体" w:eastAsia="宋体" w:cs="宋体"/>
          <w:snapToGrid/>
          <w:color w:val="000000"/>
          <w:kern w:val="0"/>
          <w:sz w:val="24"/>
          <w:szCs w:val="24"/>
          <w:u w:val="single"/>
          <w:lang w:val="en-US" w:eastAsia="zh-CN" w:bidi="ar"/>
        </w:rPr>
        <w:t>监理人现场办公室</w:t>
      </w:r>
      <w:r>
        <w:rPr>
          <w:rFonts w:hint="eastAsia" w:ascii="宋体" w:hAnsi="宋体" w:eastAsia="宋体" w:cs="宋体"/>
          <w:snapToGrid/>
          <w:color w:val="000000"/>
          <w:kern w:val="0"/>
          <w:sz w:val="24"/>
          <w:szCs w:val="24"/>
          <w:lang w:val="en-US" w:eastAsia="zh-CN" w:bidi="ar"/>
        </w:rPr>
        <w:t>；</w:t>
      </w:r>
    </w:p>
    <w:p w14:paraId="360A0AA4">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监理人指定的接收人为：</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w:t>
      </w:r>
    </w:p>
    <w:p w14:paraId="6AD35AF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1.8  转让</w:t>
      </w:r>
    </w:p>
    <w:p w14:paraId="7AD9846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未经发包人书面同意，承包人不得将合同权利或义务全部或部分转让给第三人，法律另有规定的除外。</w:t>
      </w:r>
    </w:p>
    <w:p w14:paraId="626B933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1.11  专利技术</w:t>
      </w:r>
    </w:p>
    <w:p w14:paraId="132A82CF">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1.11.4 承包人建造完成的建筑物的著作权以及建筑物形象使用收益等其他知</w:t>
      </w:r>
      <w:r>
        <w:rPr>
          <w:rFonts w:hint="eastAsia" w:ascii="宋体" w:hAnsi="宋体" w:eastAsia="宋体" w:cs="宋体"/>
          <w:snapToGrid/>
          <w:color w:val="000000"/>
          <w:kern w:val="0"/>
          <w:sz w:val="24"/>
          <w:szCs w:val="24"/>
          <w:lang w:val="en-US" w:eastAsia="zh-CN" w:bidi="ar"/>
        </w:rPr>
        <w:t>识</w:t>
      </w:r>
      <w:r>
        <w:rPr>
          <w:rFonts w:hint="eastAsia" w:ascii="宋体" w:hAnsi="宋体" w:eastAsia="宋体" w:cs="宋体"/>
          <w:snapToGrid/>
          <w:color w:val="000000"/>
          <w:spacing w:val="0"/>
          <w:kern w:val="0"/>
          <w:sz w:val="24"/>
          <w:szCs w:val="24"/>
          <w:lang w:val="en-US" w:eastAsia="zh-CN" w:bidi="ar"/>
        </w:rPr>
        <w:t>产权的归属：</w:t>
      </w:r>
      <w:r>
        <w:rPr>
          <w:rFonts w:hint="eastAsia" w:ascii="宋体" w:hAnsi="宋体" w:eastAsia="宋体" w:cs="宋体"/>
          <w:snapToGrid/>
          <w:color w:val="000000"/>
          <w:spacing w:val="0"/>
          <w:kern w:val="0"/>
          <w:sz w:val="24"/>
          <w:szCs w:val="24"/>
          <w:u w:val="single"/>
          <w:lang w:val="en-US" w:eastAsia="zh-CN" w:bidi="ar"/>
        </w:rPr>
        <w:t>归发包人所有</w:t>
      </w:r>
      <w:r>
        <w:rPr>
          <w:rFonts w:hint="eastAsia" w:ascii="宋体" w:hAnsi="宋体" w:eastAsia="宋体" w:cs="宋体"/>
          <w:snapToGrid/>
          <w:color w:val="000000"/>
          <w:spacing w:val="0"/>
          <w:kern w:val="0"/>
          <w:sz w:val="24"/>
          <w:szCs w:val="24"/>
          <w:lang w:val="en-US" w:eastAsia="zh-CN" w:bidi="ar"/>
        </w:rPr>
        <w:t>。</w:t>
      </w:r>
    </w:p>
    <w:p w14:paraId="5D928589">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1.11.5 由发包人（或以发包人名义）编制的发包人要求和其他文件，就合同</w:t>
      </w:r>
      <w:r>
        <w:rPr>
          <w:rFonts w:hint="eastAsia" w:ascii="宋体" w:hAnsi="宋体" w:eastAsia="宋体" w:cs="宋体"/>
          <w:snapToGrid/>
          <w:color w:val="000000"/>
          <w:kern w:val="0"/>
          <w:sz w:val="24"/>
          <w:szCs w:val="24"/>
          <w:lang w:val="en-US" w:eastAsia="zh-CN" w:bidi="ar"/>
        </w:rPr>
        <w:t>当</w:t>
      </w:r>
      <w:r>
        <w:rPr>
          <w:rFonts w:hint="eastAsia" w:ascii="宋体" w:hAnsi="宋体" w:eastAsia="宋体" w:cs="宋体"/>
          <w:snapToGrid/>
          <w:color w:val="000000"/>
          <w:spacing w:val="0"/>
          <w:kern w:val="0"/>
          <w:sz w:val="24"/>
          <w:szCs w:val="24"/>
          <w:lang w:val="en-US" w:eastAsia="zh-CN" w:bidi="ar"/>
        </w:rPr>
        <w:t>事人之间而言，其著作权和其他知识产权应归发包人所有。承包人可以为实现合同目的而复制、使用此类文件，但不能用于与合同无关的其他事项。未经发包人书面同意，</w:t>
      </w:r>
      <w:r>
        <w:rPr>
          <w:rFonts w:hint="eastAsia" w:ascii="宋体" w:hAnsi="宋体" w:eastAsia="宋体" w:cs="宋体"/>
          <w:snapToGrid/>
          <w:color w:val="000000"/>
          <w:kern w:val="0"/>
          <w:sz w:val="24"/>
          <w:szCs w:val="24"/>
          <w:lang w:val="en-US" w:eastAsia="zh-CN" w:bidi="ar"/>
        </w:rPr>
        <w:t>承包人不得为合同以外的目的而复制、使用上述文件或</w:t>
      </w:r>
      <w:r>
        <w:rPr>
          <w:rFonts w:hint="eastAsia" w:ascii="宋体" w:hAnsi="宋体" w:eastAsia="宋体" w:cs="宋体"/>
          <w:snapToGrid/>
          <w:color w:val="000000"/>
          <w:spacing w:val="0"/>
          <w:kern w:val="0"/>
          <w:sz w:val="24"/>
          <w:szCs w:val="24"/>
          <w:lang w:val="en-US" w:eastAsia="zh-CN" w:bidi="ar"/>
        </w:rPr>
        <w:t>将之提供给任何第三方。</w:t>
      </w:r>
    </w:p>
    <w:p w14:paraId="26312F6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1.11.6 对于承包人在履行本合同过程中所知悉的发包人的商业秘密，包括发</w:t>
      </w:r>
      <w:r>
        <w:rPr>
          <w:rFonts w:hint="eastAsia" w:ascii="宋体" w:hAnsi="宋体" w:eastAsia="宋体" w:cs="宋体"/>
          <w:snapToGrid/>
          <w:color w:val="000000"/>
          <w:kern w:val="0"/>
          <w:sz w:val="24"/>
          <w:szCs w:val="24"/>
          <w:lang w:val="en-US" w:eastAsia="zh-CN" w:bidi="ar"/>
        </w:rPr>
        <w:t>包</w:t>
      </w:r>
      <w:r>
        <w:rPr>
          <w:rFonts w:hint="eastAsia" w:ascii="宋体" w:hAnsi="宋体" w:eastAsia="宋体" w:cs="宋体"/>
          <w:snapToGrid/>
          <w:color w:val="000000"/>
          <w:spacing w:val="0"/>
          <w:kern w:val="0"/>
          <w:sz w:val="24"/>
          <w:szCs w:val="24"/>
          <w:lang w:val="en-US" w:eastAsia="zh-CN" w:bidi="ar"/>
        </w:rPr>
        <w:t>人向承包人提供的信息、情报、专有技术、创造发明、计算分析或研究材料、管理政策、制度、程序、商业资料及其他应当或要求予以保密的各种资料，承包人不得挪作他用及披露给任何第三方。</w:t>
      </w:r>
    </w:p>
    <w:p w14:paraId="6B795BF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1.11.7 如果发生第三方因承包人原因向发包人就知识产权进行索赔或诉讼，发包人应立即通知承包人；承包人应在收到通知后</w:t>
      </w:r>
      <w:r>
        <w:rPr>
          <w:rFonts w:hint="eastAsia" w:ascii="宋体" w:hAnsi="宋体" w:eastAsia="宋体" w:cs="宋体"/>
          <w:snapToGrid/>
          <w:color w:val="000000"/>
          <w:spacing w:val="0"/>
          <w:kern w:val="0"/>
          <w:sz w:val="24"/>
          <w:szCs w:val="24"/>
          <w:u w:val="single"/>
          <w:lang w:val="en-US" w:eastAsia="zh-CN" w:bidi="ar"/>
        </w:rPr>
        <w:t xml:space="preserve"> 28 </w:t>
      </w:r>
      <w:r>
        <w:rPr>
          <w:rFonts w:hint="eastAsia" w:ascii="宋体" w:hAnsi="宋体" w:eastAsia="宋体" w:cs="宋体"/>
          <w:snapToGrid/>
          <w:color w:val="000000"/>
          <w:spacing w:val="0"/>
          <w:kern w:val="0"/>
          <w:sz w:val="24"/>
          <w:szCs w:val="24"/>
          <w:lang w:val="en-US" w:eastAsia="zh-CN" w:bidi="ar"/>
        </w:rPr>
        <w:t>天内自费处理上述问题，并对由此而引起的诉讼进行协商或应诉。承包人应设法保护发包人利益，避免发包人的任何损失，否则，发包人因此而蒙受的任何损失将从应付合同价款中扣回，不足部分发包人有权另行追偿。</w:t>
      </w:r>
    </w:p>
    <w:p w14:paraId="68DEFE3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如果发包人对承包人在涉及发包人利益所进行争讼不满意时，发包人有权自行行使应诉中的抗辩权利，但这并不丝毫减轻承包人任何责任和义务，发包人由此而产生的任何费用从应付合同价款中扣回，不足部分发包人有权另行追偿。</w:t>
      </w:r>
    </w:p>
    <w:p w14:paraId="71FABFE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2.  发包人义务</w:t>
      </w:r>
    </w:p>
    <w:p w14:paraId="7FE08B1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2.3 提供施工场地</w:t>
      </w:r>
    </w:p>
    <w:p w14:paraId="7239AAEE">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2.3.1 关于发包人移交施工现场的期限要求：</w:t>
      </w:r>
      <w:r>
        <w:rPr>
          <w:rFonts w:hint="eastAsia" w:ascii="宋体" w:hAnsi="宋体" w:eastAsia="宋体" w:cs="宋体"/>
          <w:snapToGrid/>
          <w:color w:val="000000"/>
          <w:kern w:val="0"/>
          <w:sz w:val="24"/>
          <w:szCs w:val="24"/>
          <w:u w:val="single"/>
          <w:lang w:val="en-US" w:eastAsia="zh-CN" w:bidi="ar"/>
        </w:rPr>
        <w:t>开工前 7 天</w:t>
      </w:r>
      <w:r>
        <w:rPr>
          <w:rFonts w:hint="eastAsia" w:ascii="宋体" w:hAnsi="宋体" w:eastAsia="宋体" w:cs="宋体"/>
          <w:snapToGrid/>
          <w:color w:val="000000"/>
          <w:kern w:val="0"/>
          <w:sz w:val="24"/>
          <w:szCs w:val="24"/>
          <w:lang w:val="en-US" w:eastAsia="zh-CN" w:bidi="ar"/>
        </w:rPr>
        <w:t>。</w:t>
      </w:r>
    </w:p>
    <w:p w14:paraId="5B7E283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3.  监理人</w:t>
      </w:r>
    </w:p>
    <w:p w14:paraId="1988C398">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3.2 监理人员</w:t>
      </w:r>
    </w:p>
    <w:p w14:paraId="23912A79">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总监理工程师：</w:t>
      </w:r>
    </w:p>
    <w:p w14:paraId="1D284AD9">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姓    名：</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w:t>
      </w:r>
    </w:p>
    <w:p w14:paraId="1A1F5EF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职    务：</w:t>
      </w:r>
      <w:r>
        <w:rPr>
          <w:rFonts w:hint="eastAsia" w:ascii="宋体" w:hAnsi="宋体" w:eastAsia="宋体" w:cs="宋体"/>
          <w:snapToGrid/>
          <w:color w:val="000000"/>
          <w:kern w:val="0"/>
          <w:sz w:val="24"/>
          <w:szCs w:val="24"/>
          <w:u w:val="single"/>
          <w:lang w:val="en-US" w:eastAsia="zh-CN" w:bidi="ar"/>
        </w:rPr>
        <w:t xml:space="preserve"> 总监理工程师 </w:t>
      </w:r>
      <w:r>
        <w:rPr>
          <w:rFonts w:hint="eastAsia" w:ascii="宋体" w:hAnsi="宋体" w:eastAsia="宋体" w:cs="宋体"/>
          <w:snapToGrid/>
          <w:color w:val="000000"/>
          <w:kern w:val="0"/>
          <w:sz w:val="24"/>
          <w:szCs w:val="24"/>
          <w:lang w:val="en-US" w:eastAsia="zh-CN" w:bidi="ar"/>
        </w:rPr>
        <w:t>；</w:t>
      </w:r>
    </w:p>
    <w:p w14:paraId="6AA9329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监理工程师执业资格证书号：</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w:t>
      </w:r>
    </w:p>
    <w:p w14:paraId="22454EC6">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联系电话：</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w:t>
      </w:r>
    </w:p>
    <w:p w14:paraId="0DC880F9">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4.  承包人</w:t>
      </w:r>
    </w:p>
    <w:p w14:paraId="5309EC1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4.1 承包人的一般义务</w:t>
      </w:r>
    </w:p>
    <w:p w14:paraId="17C62793">
      <w:pPr>
        <w:pStyle w:val="19"/>
        <w:keepNext w:val="0"/>
        <w:keepLines w:val="0"/>
        <w:widowControl w:val="0"/>
        <w:suppressLineNumbers w:val="0"/>
        <w:kinsoku/>
        <w:autoSpaceDE w:val="0"/>
        <w:autoSpaceDN/>
        <w:adjustRightInd/>
        <w:snapToGrid/>
        <w:spacing w:before="0" w:beforeAutospacing="0" w:after="0" w:afterAutospacing="0" w:line="420" w:lineRule="exact"/>
        <w:ind w:left="0" w:right="0" w:firstLine="480" w:firstLineChars="200"/>
        <w:jc w:val="both"/>
        <w:textAlignment w:val="auto"/>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4.1.3 完成各项承包工作</w:t>
      </w:r>
    </w:p>
    <w:p w14:paraId="6F408BF9">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lang w:val="en-US" w:eastAsia="zh-CN" w:bidi="ar"/>
        </w:rPr>
        <w:t>承包人提交的竣工资料的内容：</w:t>
      </w:r>
      <w:r>
        <w:rPr>
          <w:rFonts w:hint="eastAsia" w:ascii="宋体" w:hAnsi="宋体" w:eastAsia="宋体" w:cs="宋体"/>
          <w:snapToGrid/>
          <w:color w:val="000000"/>
          <w:kern w:val="0"/>
          <w:sz w:val="24"/>
          <w:szCs w:val="24"/>
          <w:u w:val="single"/>
          <w:lang w:val="en-US" w:eastAsia="zh-CN" w:bidi="ar"/>
        </w:rPr>
        <w:t>承包人向发包人提交完整竣工图纸及竣工图电子文档</w:t>
      </w:r>
      <w:r>
        <w:rPr>
          <w:rFonts w:hint="eastAsia" w:ascii="宋体" w:hAnsi="宋体" w:eastAsia="宋体" w:cs="宋体"/>
          <w:snapToGrid/>
          <w:color w:val="000000"/>
          <w:kern w:val="0"/>
          <w:sz w:val="24"/>
          <w:szCs w:val="24"/>
          <w:lang w:val="en-US" w:eastAsia="zh-CN" w:bidi="ar"/>
        </w:rPr>
        <w:t>。</w:t>
      </w:r>
    </w:p>
    <w:p w14:paraId="09D6E94C">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承包人需要提交的竣工资料套数：</w:t>
      </w:r>
      <w:r>
        <w:rPr>
          <w:rFonts w:hint="eastAsia" w:ascii="宋体" w:hAnsi="宋体" w:eastAsia="宋体" w:cs="宋体"/>
          <w:snapToGrid/>
          <w:color w:val="000000"/>
          <w:kern w:val="0"/>
          <w:sz w:val="24"/>
          <w:szCs w:val="24"/>
          <w:u w:val="single"/>
          <w:lang w:val="en-US" w:eastAsia="zh-CN" w:bidi="ar"/>
        </w:rPr>
        <w:t xml:space="preserve"> 4 套 </w:t>
      </w:r>
      <w:r>
        <w:rPr>
          <w:rFonts w:hint="eastAsia" w:ascii="宋体" w:hAnsi="宋体" w:eastAsia="宋体" w:cs="宋体"/>
          <w:snapToGrid/>
          <w:color w:val="000000"/>
          <w:kern w:val="0"/>
          <w:sz w:val="24"/>
          <w:szCs w:val="24"/>
          <w:lang w:val="en-US" w:eastAsia="zh-CN" w:bidi="ar"/>
        </w:rPr>
        <w:t>。</w:t>
      </w:r>
    </w:p>
    <w:p w14:paraId="37EF7969">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承包人提交的竣工资料的费用承担：</w:t>
      </w:r>
      <w:r>
        <w:rPr>
          <w:rFonts w:hint="eastAsia" w:ascii="宋体" w:hAnsi="宋体" w:eastAsia="宋体" w:cs="宋体"/>
          <w:snapToGrid/>
          <w:color w:val="000000"/>
          <w:kern w:val="0"/>
          <w:sz w:val="24"/>
          <w:szCs w:val="24"/>
          <w:u w:val="single"/>
          <w:lang w:val="en-US" w:eastAsia="zh-CN" w:bidi="ar"/>
        </w:rPr>
        <w:t xml:space="preserve"> 承包人承担 </w:t>
      </w:r>
      <w:r>
        <w:rPr>
          <w:rFonts w:hint="eastAsia" w:ascii="宋体" w:hAnsi="宋体" w:eastAsia="宋体" w:cs="宋体"/>
          <w:snapToGrid/>
          <w:color w:val="000000"/>
          <w:kern w:val="0"/>
          <w:sz w:val="24"/>
          <w:szCs w:val="24"/>
          <w:lang w:val="en-US" w:eastAsia="zh-CN" w:bidi="ar"/>
        </w:rPr>
        <w:t>。</w:t>
      </w:r>
    </w:p>
    <w:p w14:paraId="111F7C68">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承包人提交的竣工资料移交时间：</w:t>
      </w:r>
      <w:r>
        <w:rPr>
          <w:rFonts w:hint="eastAsia" w:ascii="宋体" w:hAnsi="宋体" w:eastAsia="宋体" w:cs="宋体"/>
          <w:snapToGrid/>
          <w:color w:val="000000"/>
          <w:kern w:val="0"/>
          <w:sz w:val="24"/>
          <w:szCs w:val="24"/>
          <w:u w:val="single"/>
          <w:lang w:val="en-US" w:eastAsia="zh-CN" w:bidi="ar"/>
        </w:rPr>
        <w:t xml:space="preserve"> 竣工验收合格后 7 天 </w:t>
      </w:r>
      <w:r>
        <w:rPr>
          <w:rFonts w:hint="eastAsia" w:ascii="宋体" w:hAnsi="宋体" w:eastAsia="宋体" w:cs="宋体"/>
          <w:snapToGrid/>
          <w:color w:val="000000"/>
          <w:kern w:val="0"/>
          <w:sz w:val="24"/>
          <w:szCs w:val="24"/>
          <w:lang w:val="en-US" w:eastAsia="zh-CN" w:bidi="ar"/>
        </w:rPr>
        <w:t>。</w:t>
      </w:r>
    </w:p>
    <w:p w14:paraId="3657E8E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承包人提交的竣工资料形式要求：</w:t>
      </w:r>
      <w:r>
        <w:rPr>
          <w:rFonts w:hint="eastAsia" w:ascii="宋体" w:hAnsi="宋体" w:eastAsia="宋体" w:cs="宋体"/>
          <w:snapToGrid/>
          <w:color w:val="000000"/>
          <w:kern w:val="0"/>
          <w:sz w:val="24"/>
          <w:szCs w:val="24"/>
          <w:u w:val="single"/>
          <w:lang w:val="en-US" w:eastAsia="zh-CN" w:bidi="ar"/>
        </w:rPr>
        <w:t xml:space="preserve"> 书面文件和电子文件 </w:t>
      </w:r>
      <w:r>
        <w:rPr>
          <w:rFonts w:hint="eastAsia" w:ascii="宋体" w:hAnsi="宋体" w:eastAsia="宋体" w:cs="宋体"/>
          <w:snapToGrid/>
          <w:color w:val="000000"/>
          <w:kern w:val="0"/>
          <w:sz w:val="24"/>
          <w:szCs w:val="24"/>
          <w:lang w:val="en-US" w:eastAsia="zh-CN" w:bidi="ar"/>
        </w:rPr>
        <w:t>。</w:t>
      </w:r>
    </w:p>
    <w:p w14:paraId="6BAA7543">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承包人需在开工前取得承装（修，试）施工许可证。</w:t>
      </w:r>
    </w:p>
    <w:p w14:paraId="6131D24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4.1.10 其他义务</w:t>
      </w:r>
    </w:p>
    <w:p w14:paraId="07A5B308">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spacing w:val="0"/>
          <w:kern w:val="0"/>
          <w:sz w:val="24"/>
          <w:szCs w:val="24"/>
          <w:lang w:val="en-US" w:eastAsia="zh-CN" w:bidi="ar"/>
        </w:rPr>
        <w:t>承包人应履行的其他义务：</w:t>
      </w:r>
      <w:r>
        <w:rPr>
          <w:rFonts w:hint="eastAsia" w:ascii="宋体" w:hAnsi="宋体" w:eastAsia="宋体" w:cs="宋体"/>
          <w:snapToGrid/>
          <w:color w:val="000000"/>
          <w:kern w:val="0"/>
          <w:sz w:val="24"/>
          <w:szCs w:val="24"/>
          <w:u w:val="single"/>
          <w:lang w:val="en-US" w:eastAsia="zh-CN" w:bidi="ar"/>
        </w:rPr>
        <w:t>①施工前提供施工组织设计，经发包人批准后实施；每月初向发包人及监理人提供月、周工程进度计划及进度结算报表，由于未按时提供上述计划和月结算报表而影响工程进度和工程款支付的，由承包人承担责任。②根据工程需要，提供和维修施工使用的照明、围栏设施并负责安全保卫。③已竣工工程未交付发包人之前，承包人负责已完工程的保护工作，保护期间发生损坏，承包人自费予以修复；发包人要求承包人采取特殊措施保护的工程部位需要相应的追加合同价款，双方另行约定，结算时一并计入。④做好施工场地地下管线和邻近建筑物、构筑物（包括文物保护建筑）、古树名木的保护工作，否则，造成损失的由承包人负责赔偿。⑤负责配合发包人做好临时停水、停电、中断道路交通等方面的工作。⑥必须为从事施工作业的职工、农民工办理意外伤害保险及工伤保险等保险，并为施工现场内自有工作人员、施工机械设备等办理保险，支付保险费用，未购买相应保险及超过保险赔偿部分的责任及损失由承包人承担。⑦承包人应严格按设计图、本合同要求及相关技术标准、规范进行施工。并随时接受发包人或监理人的检查检验，为检查检验提供便利条件。⑧负责采购的材料、设备应提供产品合格证明，对材料、设备质量负责。材料、设备在使用前承包人应按国家、行业的要求进行检验或试验。材料、设备检验合格后经发包人和监理人核准方能使用。所有材料采保、检验、试验费用均由承包人承担。⑨承包人在本工程竣工验收合格后，对已交付发包人使用的工程项目因质量原因的维修、维护承担责任和费用，承包人在接到发包方通知后 2 天内不予维修，修护施工的，发包人有权请他人施工，费用从质保金中扣除。⑩承包人必须采取有效措施，确保民工工资及时全额发放。坚决杜绝拖欠民工工资事件发生。承包人应设立农民工工资专用账户，所收工程款项，应当优先支付员工（含农民工）工资，因欠付员工（含农民工）工资所造成的工期延误由承包人负责，所涉纠纷由承包人处理。承包人应对总承包项目的农民工工资实名制发放负总责，将农民工工资实名制发放工作纳入管理范畴，设立农民工管理专门机构并配备劳资专管员，负责工程项目的劳动用工管理，编制施工现场所有劳务人员用工手册，记录进场施工农民工身份、劳动考勤和工资支付等信，承包人应对劳务分包企业农民工工作实名制发放情况进行监督。承包人应当在施工现场醒目位置设置工程信息和劳动者权益维护告示牌。承包人要加强对分包企业劳动用工和工资发放的监督管理，实时掌握施工现场劳动用工和工资发放情况，并督促分包企业将工资直接支付给农民工本人，不得以包代管。具体按照建设行业农民工工资保障的相关法规制度执行。若承包人违反上述规定，发包人有权终止合同，承包人应向发包人支付合同总价款10%的违约金并承担由此造成的损失，同时发包人有权将承包人己完工工程进行结算后的工程款直接支付应付民工工资，该支付（发包人可自行认定）视为对承包人工程款的支付，承包人完全同意并接受。⑪因工程建设需要，发包人要求承包人完成的增加工程量，承包人必须按计划完成。⑫发包人按规定计价给承包人的安全文明施工措施费承包人必须专款专用，并建立专门台帐，并接受相关部门监督</w:t>
      </w:r>
      <w:r>
        <w:rPr>
          <w:rFonts w:hint="eastAsia" w:ascii="宋体" w:hAnsi="宋体" w:eastAsia="宋体" w:cs="宋体"/>
          <w:snapToGrid/>
          <w:color w:val="000000"/>
          <w:kern w:val="0"/>
          <w:sz w:val="24"/>
          <w:szCs w:val="24"/>
          <w:lang w:val="en-US" w:eastAsia="zh-CN" w:bidi="ar"/>
        </w:rPr>
        <w:t>。</w:t>
      </w:r>
    </w:p>
    <w:p w14:paraId="215F74A6">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4.2 履约担保</w:t>
      </w:r>
    </w:p>
    <w:p w14:paraId="00C1A080">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承包人是否提供履约担保：</w:t>
      </w:r>
      <w:r>
        <w:rPr>
          <w:rFonts w:hint="eastAsia" w:ascii="宋体" w:hAnsi="宋体" w:eastAsia="宋体" w:cs="宋体"/>
          <w:snapToGrid/>
          <w:color w:val="000000"/>
          <w:kern w:val="0"/>
          <w:sz w:val="24"/>
          <w:szCs w:val="24"/>
          <w:u w:val="single"/>
          <w:lang w:val="en-US" w:eastAsia="zh-CN" w:bidi="ar"/>
        </w:rPr>
        <w:t xml:space="preserve"> 否 </w:t>
      </w:r>
      <w:r>
        <w:rPr>
          <w:rFonts w:hint="eastAsia" w:ascii="宋体" w:hAnsi="宋体" w:eastAsia="宋体" w:cs="宋体"/>
          <w:snapToGrid/>
          <w:color w:val="000000"/>
          <w:kern w:val="0"/>
          <w:sz w:val="24"/>
          <w:szCs w:val="24"/>
          <w:lang w:val="en-US" w:eastAsia="zh-CN" w:bidi="ar"/>
        </w:rPr>
        <w:t>。</w:t>
      </w:r>
    </w:p>
    <w:p w14:paraId="5EA9500C">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4.3 分包</w:t>
      </w:r>
    </w:p>
    <w:p w14:paraId="63682BCD">
      <w:pPr>
        <w:keepNext w:val="0"/>
        <w:keepLines w:val="0"/>
        <w:widowControl/>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spacing w:val="0"/>
          <w:kern w:val="0"/>
          <w:sz w:val="24"/>
          <w:szCs w:val="24"/>
          <w:lang w:val="en-US" w:eastAsia="zh-CN" w:bidi="ar"/>
        </w:rPr>
        <w:t xml:space="preserve">4.3.1 </w:t>
      </w:r>
      <w:r>
        <w:rPr>
          <w:rFonts w:hint="eastAsia" w:ascii="宋体" w:hAnsi="宋体" w:eastAsia="宋体" w:cs="宋体"/>
          <w:snapToGrid/>
          <w:color w:val="000000"/>
          <w:kern w:val="0"/>
          <w:sz w:val="24"/>
          <w:szCs w:val="24"/>
          <w:lang w:val="en-US" w:eastAsia="zh-CN" w:bidi="ar"/>
        </w:rPr>
        <w:t>承禁止分包的工程包括：</w:t>
      </w:r>
      <w:r>
        <w:rPr>
          <w:rFonts w:hint="eastAsia" w:ascii="宋体" w:hAnsi="宋体" w:eastAsia="宋体" w:cs="宋体"/>
          <w:snapToGrid/>
          <w:color w:val="000000"/>
          <w:kern w:val="0"/>
          <w:sz w:val="24"/>
          <w:szCs w:val="24"/>
          <w:u w:val="single"/>
          <w:lang w:val="en-US" w:eastAsia="zh-CN" w:bidi="ar"/>
        </w:rPr>
        <w:t>本全部工程严禁承包人转包、分包、挂靠其他公司资质承担工程等违法行为，一经发现，合同无效并由承包人承担合同金额25%的违约责任，并承担因此而造成的一切经济损失</w:t>
      </w:r>
      <w:r>
        <w:rPr>
          <w:rFonts w:hint="eastAsia" w:ascii="宋体" w:hAnsi="宋体" w:eastAsia="宋体" w:cs="宋体"/>
          <w:snapToGrid/>
          <w:color w:val="000000"/>
          <w:kern w:val="0"/>
          <w:sz w:val="24"/>
          <w:szCs w:val="24"/>
          <w:lang w:val="en-US" w:eastAsia="zh-CN" w:bidi="ar"/>
        </w:rPr>
        <w:t>。</w:t>
      </w:r>
    </w:p>
    <w:p w14:paraId="30CAA63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kern w:val="0"/>
          <w:sz w:val="24"/>
          <w:szCs w:val="24"/>
        </w:rPr>
      </w:pPr>
      <w:r>
        <w:rPr>
          <w:rFonts w:hint="eastAsia" w:ascii="黑体" w:hAnsi="宋体" w:eastAsia="黑体" w:cs="黑体"/>
          <w:snapToGrid/>
          <w:color w:val="000000"/>
          <w:spacing w:val="0"/>
          <w:kern w:val="0"/>
          <w:sz w:val="24"/>
          <w:szCs w:val="24"/>
          <w:lang w:val="en-US" w:eastAsia="zh-CN" w:bidi="ar"/>
        </w:rPr>
        <w:t>4.5 承包人项目经理</w:t>
      </w:r>
    </w:p>
    <w:p w14:paraId="2C8E2A4F">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4.5.4 项目经理：</w:t>
      </w:r>
    </w:p>
    <w:p w14:paraId="5BA1432A">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姓    名：</w:t>
      </w:r>
      <w:r>
        <w:rPr>
          <w:rFonts w:hint="eastAsia" w:ascii="宋体" w:hAnsi="宋体" w:eastAsia="宋体" w:cs="宋体"/>
          <w:snapToGrid/>
          <w:color w:val="000000"/>
          <w:kern w:val="0"/>
          <w:sz w:val="24"/>
          <w:szCs w:val="24"/>
          <w:u w:val="single"/>
          <w:lang w:val="en-US" w:eastAsia="zh-CN" w:bidi="ar"/>
        </w:rPr>
        <w:t>         </w:t>
      </w:r>
      <w:r>
        <w:rPr>
          <w:rFonts w:hint="eastAsia" w:ascii="宋体" w:hAnsi="宋体" w:eastAsia="宋体" w:cs="宋体"/>
          <w:snapToGrid/>
          <w:color w:val="000000"/>
          <w:kern w:val="0"/>
          <w:sz w:val="24"/>
          <w:szCs w:val="24"/>
          <w:lang w:val="en-US" w:eastAsia="zh-CN" w:bidi="ar"/>
        </w:rPr>
        <w:t>；</w:t>
      </w:r>
    </w:p>
    <w:p w14:paraId="75E0AF3B">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身份证号：</w:t>
      </w:r>
      <w:r>
        <w:rPr>
          <w:rFonts w:hint="eastAsia" w:ascii="宋体" w:hAnsi="宋体" w:eastAsia="宋体" w:cs="宋体"/>
          <w:snapToGrid/>
          <w:color w:val="000000"/>
          <w:kern w:val="0"/>
          <w:sz w:val="24"/>
          <w:szCs w:val="24"/>
          <w:u w:val="single"/>
          <w:lang w:val="en-US" w:eastAsia="zh-CN" w:bidi="ar"/>
        </w:rPr>
        <w:t>         </w:t>
      </w:r>
      <w:r>
        <w:rPr>
          <w:rFonts w:hint="eastAsia" w:ascii="宋体" w:hAnsi="宋体" w:eastAsia="宋体" w:cs="宋体"/>
          <w:snapToGrid/>
          <w:color w:val="000000"/>
          <w:kern w:val="0"/>
          <w:sz w:val="24"/>
          <w:szCs w:val="24"/>
          <w:lang w:val="en-US" w:eastAsia="zh-CN" w:bidi="ar"/>
        </w:rPr>
        <w:t>；</w:t>
      </w:r>
    </w:p>
    <w:p w14:paraId="0571536D">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建造师执业资格等级：</w:t>
      </w:r>
      <w:r>
        <w:rPr>
          <w:rFonts w:hint="eastAsia" w:ascii="宋体" w:hAnsi="宋体" w:eastAsia="宋体" w:cs="宋体"/>
          <w:snapToGrid/>
          <w:color w:val="000000"/>
          <w:kern w:val="0"/>
          <w:sz w:val="24"/>
          <w:szCs w:val="24"/>
          <w:u w:val="single"/>
          <w:lang w:val="en-US" w:eastAsia="zh-CN" w:bidi="ar"/>
        </w:rPr>
        <w:t>   </w:t>
      </w:r>
      <w:r>
        <w:rPr>
          <w:rFonts w:hint="eastAsia" w:ascii="宋体" w:hAnsi="宋体" w:eastAsia="宋体" w:cs="宋体"/>
          <w:snapToGrid/>
          <w:color w:val="000000"/>
          <w:kern w:val="0"/>
          <w:sz w:val="24"/>
          <w:szCs w:val="24"/>
          <w:lang w:val="en-US" w:eastAsia="zh-CN" w:bidi="ar"/>
        </w:rPr>
        <w:t>；</w:t>
      </w:r>
    </w:p>
    <w:p w14:paraId="4E1535D5">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建造师注册证书号：</w:t>
      </w:r>
      <w:r>
        <w:rPr>
          <w:rFonts w:hint="eastAsia" w:ascii="宋体" w:hAnsi="宋体" w:eastAsia="宋体" w:cs="宋体"/>
          <w:snapToGrid/>
          <w:color w:val="000000"/>
          <w:kern w:val="0"/>
          <w:sz w:val="24"/>
          <w:szCs w:val="24"/>
          <w:u w:val="single"/>
          <w:lang w:val="en-US" w:eastAsia="zh-CN" w:bidi="ar"/>
        </w:rPr>
        <w:t> </w:t>
      </w:r>
      <w:r>
        <w:rPr>
          <w:rFonts w:hint="eastAsia" w:ascii="宋体" w:hAnsi="宋体" w:eastAsia="宋体" w:cs="宋体"/>
          <w:snapToGrid/>
          <w:color w:val="000000"/>
          <w:kern w:val="0"/>
          <w:sz w:val="24"/>
          <w:szCs w:val="24"/>
          <w:lang w:val="en-US" w:eastAsia="zh-CN" w:bidi="ar"/>
        </w:rPr>
        <w:t>；</w:t>
      </w:r>
    </w:p>
    <w:p w14:paraId="3AF30F17">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建造师执业电子公章号：</w:t>
      </w:r>
      <w:r>
        <w:rPr>
          <w:rFonts w:hint="eastAsia" w:ascii="宋体" w:hAnsi="宋体" w:eastAsia="宋体" w:cs="宋体"/>
          <w:snapToGrid/>
          <w:color w:val="000000"/>
          <w:kern w:val="0"/>
          <w:sz w:val="24"/>
          <w:szCs w:val="24"/>
          <w:u w:val="single"/>
          <w:lang w:val="en-US" w:eastAsia="zh-CN" w:bidi="ar"/>
        </w:rPr>
        <w:t> </w:t>
      </w:r>
      <w:r>
        <w:rPr>
          <w:rFonts w:hint="eastAsia" w:ascii="宋体" w:hAnsi="宋体" w:eastAsia="宋体" w:cs="宋体"/>
          <w:snapToGrid/>
          <w:color w:val="000000"/>
          <w:kern w:val="0"/>
          <w:sz w:val="24"/>
          <w:szCs w:val="24"/>
          <w:lang w:val="en-US" w:eastAsia="zh-CN" w:bidi="ar"/>
        </w:rPr>
        <w:t>；</w:t>
      </w:r>
    </w:p>
    <w:p w14:paraId="45E400F7">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安全生产考核合格证书号：</w:t>
      </w:r>
      <w:r>
        <w:rPr>
          <w:rFonts w:hint="eastAsia" w:ascii="宋体" w:hAnsi="宋体" w:eastAsia="宋体" w:cs="宋体"/>
          <w:snapToGrid/>
          <w:color w:val="000000"/>
          <w:kern w:val="0"/>
          <w:sz w:val="24"/>
          <w:szCs w:val="24"/>
          <w:u w:val="single"/>
          <w:lang w:val="en-US" w:eastAsia="zh-CN" w:bidi="ar"/>
        </w:rPr>
        <w:t> </w:t>
      </w:r>
      <w:r>
        <w:rPr>
          <w:rFonts w:hint="eastAsia" w:ascii="宋体" w:hAnsi="宋体" w:eastAsia="宋体" w:cs="宋体"/>
          <w:snapToGrid/>
          <w:color w:val="000000"/>
          <w:kern w:val="0"/>
          <w:sz w:val="24"/>
          <w:szCs w:val="24"/>
          <w:lang w:val="en-US" w:eastAsia="zh-CN" w:bidi="ar"/>
        </w:rPr>
        <w:t>；</w:t>
      </w:r>
    </w:p>
    <w:p w14:paraId="702B05BE">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联系电话：</w:t>
      </w:r>
      <w:r>
        <w:rPr>
          <w:rFonts w:hint="eastAsia" w:ascii="宋体" w:hAnsi="宋体" w:eastAsia="宋体" w:cs="宋体"/>
          <w:snapToGrid/>
          <w:color w:val="000000"/>
          <w:kern w:val="0"/>
          <w:sz w:val="24"/>
          <w:szCs w:val="24"/>
          <w:u w:val="single"/>
          <w:lang w:val="en-US" w:eastAsia="zh-CN" w:bidi="ar"/>
        </w:rPr>
        <w:t>         </w:t>
      </w:r>
      <w:r>
        <w:rPr>
          <w:rFonts w:hint="eastAsia" w:ascii="宋体" w:hAnsi="宋体" w:eastAsia="宋体" w:cs="宋体"/>
          <w:snapToGrid/>
          <w:color w:val="000000"/>
          <w:kern w:val="0"/>
          <w:sz w:val="24"/>
          <w:szCs w:val="24"/>
          <w:lang w:val="en-US" w:eastAsia="zh-CN" w:bidi="ar"/>
        </w:rPr>
        <w:t>；</w:t>
      </w:r>
    </w:p>
    <w:p w14:paraId="26C32D38">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电子信箱：</w:t>
      </w:r>
      <w:r>
        <w:rPr>
          <w:rFonts w:hint="eastAsia" w:ascii="宋体" w:hAnsi="宋体" w:eastAsia="宋体" w:cs="宋体"/>
          <w:snapToGrid/>
          <w:color w:val="000000"/>
          <w:kern w:val="0"/>
          <w:sz w:val="24"/>
          <w:szCs w:val="24"/>
          <w:u w:val="single"/>
          <w:lang w:val="en-US" w:eastAsia="zh-CN" w:bidi="ar"/>
        </w:rPr>
        <w:t>         </w:t>
      </w:r>
      <w:r>
        <w:rPr>
          <w:rFonts w:hint="eastAsia" w:ascii="宋体" w:hAnsi="宋体" w:eastAsia="宋体" w:cs="宋体"/>
          <w:snapToGrid/>
          <w:color w:val="000000"/>
          <w:kern w:val="0"/>
          <w:sz w:val="24"/>
          <w:szCs w:val="24"/>
          <w:lang w:val="en-US" w:eastAsia="zh-CN" w:bidi="ar"/>
        </w:rPr>
        <w:t>；</w:t>
      </w:r>
    </w:p>
    <w:p w14:paraId="21A65A0A">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通信地址：</w:t>
      </w:r>
      <w:r>
        <w:rPr>
          <w:rFonts w:hint="eastAsia" w:ascii="宋体" w:hAnsi="宋体" w:eastAsia="宋体" w:cs="宋体"/>
          <w:snapToGrid/>
          <w:color w:val="000000"/>
          <w:kern w:val="0"/>
          <w:sz w:val="24"/>
          <w:szCs w:val="24"/>
          <w:u w:val="single"/>
          <w:lang w:val="en-US" w:eastAsia="zh-CN" w:bidi="ar"/>
        </w:rPr>
        <w:t>         </w:t>
      </w:r>
      <w:r>
        <w:rPr>
          <w:rFonts w:hint="eastAsia" w:ascii="宋体" w:hAnsi="宋体" w:eastAsia="宋体" w:cs="宋体"/>
          <w:snapToGrid/>
          <w:color w:val="000000"/>
          <w:kern w:val="0"/>
          <w:sz w:val="24"/>
          <w:szCs w:val="24"/>
          <w:lang w:val="en-US" w:eastAsia="zh-CN" w:bidi="ar"/>
        </w:rPr>
        <w:t>；</w:t>
      </w:r>
    </w:p>
    <w:p w14:paraId="6B60F8C0">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承包人对项目经理的授权范围如下：</w:t>
      </w:r>
      <w:r>
        <w:rPr>
          <w:rFonts w:hint="eastAsia" w:ascii="宋体" w:hAnsi="宋体" w:eastAsia="宋体" w:cs="宋体"/>
          <w:snapToGrid/>
          <w:color w:val="000000"/>
          <w:kern w:val="0"/>
          <w:sz w:val="24"/>
          <w:szCs w:val="24"/>
          <w:u w:val="single"/>
          <w:lang w:val="en-US" w:eastAsia="zh-CN" w:bidi="ar"/>
        </w:rPr>
        <w:t xml:space="preserve"> 全权负责 </w:t>
      </w:r>
      <w:r>
        <w:rPr>
          <w:rFonts w:hint="eastAsia" w:ascii="宋体" w:hAnsi="宋体" w:eastAsia="宋体" w:cs="宋体"/>
          <w:snapToGrid/>
          <w:color w:val="000000"/>
          <w:kern w:val="0"/>
          <w:sz w:val="24"/>
          <w:szCs w:val="24"/>
          <w:lang w:val="en-US" w:eastAsia="zh-CN" w:bidi="ar"/>
        </w:rPr>
        <w:t>。</w:t>
      </w:r>
    </w:p>
    <w:p w14:paraId="391B52B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关于项目经理每月在施工现场的时间要求：</w:t>
      </w:r>
      <w:r>
        <w:rPr>
          <w:rFonts w:hint="eastAsia" w:ascii="宋体" w:hAnsi="宋体" w:eastAsia="宋体" w:cs="宋体"/>
          <w:snapToGrid/>
          <w:color w:val="000000"/>
          <w:kern w:val="0"/>
          <w:sz w:val="24"/>
          <w:szCs w:val="24"/>
          <w:u w:val="single"/>
          <w:lang w:val="en-US" w:eastAsia="zh-CN" w:bidi="ar"/>
        </w:rPr>
        <w:t xml:space="preserve"> 必须全工作时在施工现场 </w:t>
      </w:r>
      <w:r>
        <w:rPr>
          <w:rFonts w:hint="eastAsia" w:ascii="宋体" w:hAnsi="宋体" w:eastAsia="宋体" w:cs="宋体"/>
          <w:snapToGrid/>
          <w:color w:val="000000"/>
          <w:kern w:val="0"/>
          <w:sz w:val="24"/>
          <w:szCs w:val="24"/>
          <w:lang w:val="en-US" w:eastAsia="zh-CN" w:bidi="ar"/>
        </w:rPr>
        <w:t>。</w:t>
      </w:r>
    </w:p>
    <w:p w14:paraId="08FC699B">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lang w:val="en-US" w:eastAsia="zh-CN" w:bidi="ar"/>
        </w:rPr>
        <w:t>4.5.5 承包人未提交劳动合同，以及没有为项目经理缴纳社会保险证明的违约责任：</w:t>
      </w:r>
      <w:r>
        <w:rPr>
          <w:rFonts w:hint="eastAsia" w:ascii="宋体" w:hAnsi="宋体" w:eastAsia="宋体" w:cs="宋体"/>
          <w:snapToGrid/>
          <w:color w:val="000000"/>
          <w:kern w:val="0"/>
          <w:sz w:val="24"/>
          <w:szCs w:val="24"/>
          <w:u w:val="single"/>
          <w:lang w:val="en-US" w:eastAsia="zh-CN" w:bidi="ar"/>
        </w:rPr>
        <w:t>处以5万元违约金，责令限期提交劳动合同并补缴社会保险</w:t>
      </w:r>
      <w:r>
        <w:rPr>
          <w:rFonts w:hint="eastAsia" w:ascii="宋体" w:hAnsi="宋体" w:eastAsia="宋体" w:cs="宋体"/>
          <w:snapToGrid/>
          <w:color w:val="000000"/>
          <w:kern w:val="0"/>
          <w:sz w:val="24"/>
          <w:szCs w:val="24"/>
          <w:lang w:val="en-US" w:eastAsia="zh-CN" w:bidi="ar"/>
        </w:rPr>
        <w:t>。</w:t>
      </w:r>
    </w:p>
    <w:p w14:paraId="453EE832">
      <w:pPr>
        <w:keepNext w:val="0"/>
        <w:keepLines w:val="0"/>
        <w:widowControl/>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lang w:val="en-US" w:eastAsia="zh-CN" w:bidi="ar"/>
        </w:rPr>
        <w:t>项目经理未经批准，擅自离开施工现场的违约责任：</w:t>
      </w:r>
      <w:r>
        <w:rPr>
          <w:rFonts w:hint="eastAsia" w:ascii="宋体" w:hAnsi="宋体" w:eastAsia="宋体" w:cs="宋体"/>
          <w:snapToGrid/>
          <w:color w:val="000000"/>
          <w:kern w:val="0"/>
          <w:sz w:val="24"/>
          <w:szCs w:val="24"/>
          <w:u w:val="single"/>
          <w:lang w:val="en-US" w:eastAsia="zh-CN" w:bidi="ar"/>
        </w:rPr>
        <w:t>如未能按要求到达施工现场，每天向发包人支付5万元违约金，承包人承担上述违约给发包人造成的一切损失</w:t>
      </w:r>
      <w:r>
        <w:rPr>
          <w:rFonts w:hint="eastAsia" w:ascii="宋体" w:hAnsi="宋体" w:eastAsia="宋体" w:cs="宋体"/>
          <w:snapToGrid/>
          <w:color w:val="000000"/>
          <w:kern w:val="0"/>
          <w:sz w:val="24"/>
          <w:szCs w:val="24"/>
          <w:lang w:val="en-US" w:eastAsia="zh-CN" w:bidi="ar"/>
        </w:rPr>
        <w:t xml:space="preserve">。 </w:t>
      </w:r>
    </w:p>
    <w:p w14:paraId="60F6E6F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4.6 承包人人员的管理</w:t>
      </w:r>
    </w:p>
    <w:p w14:paraId="69B61660">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4.6.1 承包人提交项目管理机构及施工现场管理人员安排报告的期限：</w:t>
      </w:r>
      <w:r>
        <w:rPr>
          <w:rFonts w:hint="eastAsia" w:ascii="宋体" w:hAnsi="宋体" w:eastAsia="宋体" w:cs="宋体"/>
          <w:snapToGrid/>
          <w:color w:val="000000"/>
          <w:kern w:val="0"/>
          <w:sz w:val="24"/>
          <w:szCs w:val="24"/>
          <w:u w:val="single"/>
          <w:lang w:val="en-US" w:eastAsia="zh-CN" w:bidi="ar"/>
        </w:rPr>
        <w:t>合同签订后 3 天内。</w:t>
      </w:r>
    </w:p>
    <w:p w14:paraId="78A65CA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lang w:val="en-US" w:eastAsia="zh-CN" w:bidi="ar"/>
        </w:rPr>
        <w:t>4.6.2 承包人主要施工管理人员离开施工现场的批准要求：</w:t>
      </w:r>
      <w:r>
        <w:rPr>
          <w:rFonts w:hint="eastAsia" w:ascii="宋体" w:hAnsi="宋体" w:eastAsia="宋体" w:cs="宋体"/>
          <w:snapToGrid/>
          <w:color w:val="000000"/>
          <w:kern w:val="0"/>
          <w:sz w:val="24"/>
          <w:szCs w:val="24"/>
          <w:u w:val="single"/>
          <w:lang w:val="en-US" w:eastAsia="zh-CN" w:bidi="ar"/>
        </w:rPr>
        <w:t xml:space="preserve"> 经发包人同意 </w:t>
      </w:r>
      <w:r>
        <w:rPr>
          <w:rFonts w:hint="eastAsia" w:ascii="宋体" w:hAnsi="宋体" w:eastAsia="宋体" w:cs="宋体"/>
          <w:snapToGrid/>
          <w:color w:val="000000"/>
          <w:kern w:val="0"/>
          <w:sz w:val="24"/>
          <w:szCs w:val="24"/>
          <w:lang w:val="en-US" w:eastAsia="zh-CN" w:bidi="ar"/>
        </w:rPr>
        <w:t>。</w:t>
      </w:r>
    </w:p>
    <w:p w14:paraId="374CF54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承包人主要施工管理人员擅自离开施工现场的违约责任：</w:t>
      </w:r>
      <w:r>
        <w:rPr>
          <w:rFonts w:hint="eastAsia" w:ascii="宋体" w:hAnsi="宋体" w:eastAsia="宋体" w:cs="宋体"/>
          <w:snapToGrid/>
          <w:color w:val="000000"/>
          <w:kern w:val="0"/>
          <w:sz w:val="24"/>
          <w:szCs w:val="24"/>
          <w:u w:val="single"/>
          <w:lang w:val="en-US" w:eastAsia="zh-CN" w:bidi="ar"/>
        </w:rPr>
        <w:t xml:space="preserve"> 同通用条款约定 </w:t>
      </w:r>
      <w:r>
        <w:rPr>
          <w:rFonts w:hint="eastAsia" w:ascii="宋体" w:hAnsi="宋体" w:eastAsia="宋体" w:cs="宋体"/>
          <w:snapToGrid/>
          <w:color w:val="000000"/>
          <w:kern w:val="0"/>
          <w:sz w:val="24"/>
          <w:szCs w:val="24"/>
          <w:lang w:val="en-US" w:eastAsia="zh-CN" w:bidi="ar"/>
        </w:rPr>
        <w:t>。</w:t>
      </w:r>
    </w:p>
    <w:p w14:paraId="773160E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4.7 撤换承包人项目经理和其他人员</w:t>
      </w:r>
    </w:p>
    <w:p w14:paraId="3CD3BA7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spacing w:val="0"/>
          <w:kern w:val="0"/>
          <w:sz w:val="24"/>
          <w:szCs w:val="24"/>
        </w:rPr>
      </w:pPr>
      <w:r>
        <w:rPr>
          <w:rFonts w:hint="eastAsia" w:ascii="宋体" w:hAnsi="宋体" w:eastAsia="宋体" w:cs="宋体"/>
          <w:snapToGrid/>
          <w:color w:val="000000"/>
          <w:spacing w:val="0"/>
          <w:kern w:val="0"/>
          <w:sz w:val="24"/>
          <w:szCs w:val="24"/>
          <w:lang w:val="en-US" w:eastAsia="zh-CN" w:bidi="ar"/>
        </w:rPr>
        <w:t>4.7.1 承包人擅自更换项目经理的违约责任：</w:t>
      </w:r>
      <w:r>
        <w:rPr>
          <w:rFonts w:hint="eastAsia" w:ascii="宋体" w:hAnsi="宋体" w:eastAsia="宋体" w:cs="宋体"/>
          <w:snapToGrid/>
          <w:color w:val="000000"/>
          <w:spacing w:val="0"/>
          <w:kern w:val="0"/>
          <w:sz w:val="24"/>
          <w:szCs w:val="24"/>
          <w:u w:val="single"/>
          <w:lang w:val="en-US" w:eastAsia="zh-CN" w:bidi="ar"/>
        </w:rPr>
        <w:t>承包人向发包人支付 25 万元/次违约金，承包人承担上述违约给发包人造成的一切损失</w:t>
      </w:r>
      <w:r>
        <w:rPr>
          <w:rFonts w:hint="eastAsia" w:ascii="宋体" w:hAnsi="宋体" w:eastAsia="宋体" w:cs="宋体"/>
          <w:snapToGrid/>
          <w:color w:val="000000"/>
          <w:spacing w:val="0"/>
          <w:kern w:val="0"/>
          <w:sz w:val="24"/>
          <w:szCs w:val="24"/>
          <w:lang w:val="en-US" w:eastAsia="zh-CN" w:bidi="ar"/>
        </w:rPr>
        <w:t>。</w:t>
      </w:r>
    </w:p>
    <w:p w14:paraId="5CAA1B5F">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spacing w:val="0"/>
          <w:kern w:val="0"/>
          <w:sz w:val="24"/>
          <w:szCs w:val="24"/>
        </w:rPr>
      </w:pPr>
      <w:r>
        <w:rPr>
          <w:rFonts w:hint="eastAsia" w:ascii="宋体" w:hAnsi="宋体" w:eastAsia="宋体" w:cs="宋体"/>
          <w:snapToGrid/>
          <w:color w:val="000000"/>
          <w:spacing w:val="0"/>
          <w:kern w:val="0"/>
          <w:sz w:val="24"/>
          <w:szCs w:val="24"/>
          <w:lang w:val="en-US" w:eastAsia="zh-CN" w:bidi="ar"/>
        </w:rPr>
        <w:t>4.7.2 承包人无正当理由拒绝更换项目经理的违约责任：</w:t>
      </w:r>
      <w:r>
        <w:rPr>
          <w:rFonts w:hint="eastAsia" w:ascii="宋体" w:hAnsi="宋体" w:eastAsia="宋体" w:cs="宋体"/>
          <w:snapToGrid/>
          <w:color w:val="000000"/>
          <w:spacing w:val="0"/>
          <w:kern w:val="0"/>
          <w:sz w:val="24"/>
          <w:szCs w:val="24"/>
          <w:u w:val="single"/>
          <w:lang w:val="en-US" w:eastAsia="zh-CN" w:bidi="ar"/>
        </w:rPr>
        <w:t>承包人向发包人支付25万元/次违约金，承包人承担上述违约给发包人造成的一切损失</w:t>
      </w:r>
      <w:r>
        <w:rPr>
          <w:rFonts w:hint="eastAsia" w:ascii="宋体" w:hAnsi="宋体" w:eastAsia="宋体" w:cs="宋体"/>
          <w:snapToGrid/>
          <w:color w:val="000000"/>
          <w:spacing w:val="0"/>
          <w:kern w:val="0"/>
          <w:sz w:val="24"/>
          <w:szCs w:val="24"/>
          <w:lang w:val="en-US" w:eastAsia="zh-CN" w:bidi="ar"/>
        </w:rPr>
        <w:t>。</w:t>
      </w:r>
    </w:p>
    <w:p w14:paraId="4361C2D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lang w:val="en-US" w:eastAsia="zh-CN" w:bidi="ar"/>
        </w:rPr>
        <w:t>4.7.3 承包人无正当理由拒绝撤换主要施工管理人员的违约责任：</w:t>
      </w:r>
      <w:r>
        <w:rPr>
          <w:rFonts w:hint="eastAsia" w:ascii="宋体" w:hAnsi="宋体" w:eastAsia="宋体" w:cs="宋体"/>
          <w:snapToGrid/>
          <w:color w:val="000000"/>
          <w:kern w:val="0"/>
          <w:sz w:val="24"/>
          <w:szCs w:val="24"/>
          <w:u w:val="single"/>
          <w:lang w:val="en-US" w:eastAsia="zh-CN" w:bidi="ar"/>
        </w:rPr>
        <w:t>向发包人支付5 万元违约金，承包人承担上述违约给发包人造成的一切损失</w:t>
      </w:r>
      <w:r>
        <w:rPr>
          <w:rFonts w:hint="eastAsia" w:ascii="宋体" w:hAnsi="宋体" w:eastAsia="宋体" w:cs="宋体"/>
          <w:snapToGrid/>
          <w:color w:val="000000"/>
          <w:kern w:val="0"/>
          <w:sz w:val="24"/>
          <w:szCs w:val="24"/>
          <w:lang w:val="en-US" w:eastAsia="zh-CN" w:bidi="ar"/>
        </w:rPr>
        <w:t>。</w:t>
      </w:r>
    </w:p>
    <w:p w14:paraId="44842D27">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4.7.4 承包人擅自更换主要施工管理人员的违约责任：</w:t>
      </w:r>
      <w:r>
        <w:rPr>
          <w:rFonts w:hint="eastAsia" w:ascii="宋体" w:hAnsi="宋体" w:eastAsia="宋体" w:cs="宋体"/>
          <w:snapToGrid/>
          <w:color w:val="000000"/>
          <w:kern w:val="0"/>
          <w:sz w:val="24"/>
          <w:szCs w:val="24"/>
          <w:u w:val="single"/>
          <w:lang w:val="en-US" w:eastAsia="zh-CN" w:bidi="ar"/>
        </w:rPr>
        <w:t>向发包人支付 5 万元违</w:t>
      </w:r>
      <w:r>
        <w:rPr>
          <w:rFonts w:hint="eastAsia" w:ascii="宋体" w:hAnsi="宋体" w:eastAsia="宋体" w:cs="宋体"/>
          <w:snapToGrid/>
          <w:color w:val="000000"/>
          <w:kern w:val="0"/>
          <w:sz w:val="24"/>
          <w:szCs w:val="24"/>
          <w:lang w:val="en-US" w:eastAsia="zh-CN" w:bidi="ar"/>
        </w:rPr>
        <w:t>约金，承包人承担上述违约给发包人造成的一切损失。</w:t>
      </w:r>
    </w:p>
    <w:p w14:paraId="7F4256B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kern w:val="0"/>
          <w:sz w:val="24"/>
          <w:szCs w:val="24"/>
        </w:rPr>
      </w:pPr>
      <w:r>
        <w:rPr>
          <w:rFonts w:hint="eastAsia" w:ascii="黑体" w:hAnsi="宋体" w:eastAsia="黑体" w:cs="黑体"/>
          <w:snapToGrid/>
          <w:color w:val="000000"/>
          <w:spacing w:val="0"/>
          <w:kern w:val="0"/>
          <w:sz w:val="24"/>
          <w:szCs w:val="24"/>
          <w:lang w:val="en-US" w:eastAsia="zh-CN" w:bidi="ar"/>
        </w:rPr>
        <w:t>4.11 不利物质条件</w:t>
      </w:r>
    </w:p>
    <w:p w14:paraId="259A067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4.11.1 承包人遇到不可预见的不利物质条件时，应采取适应不利物质条件的</w:t>
      </w:r>
      <w:r>
        <w:rPr>
          <w:rFonts w:hint="eastAsia" w:ascii="宋体" w:hAnsi="宋体" w:eastAsia="宋体" w:cs="宋体"/>
          <w:snapToGrid/>
          <w:color w:val="000000"/>
          <w:kern w:val="0"/>
          <w:sz w:val="24"/>
          <w:szCs w:val="24"/>
          <w:lang w:val="en-US" w:eastAsia="zh-CN" w:bidi="ar"/>
        </w:rPr>
        <w:t>合</w:t>
      </w:r>
      <w:r>
        <w:rPr>
          <w:rFonts w:hint="eastAsia" w:ascii="宋体" w:hAnsi="宋体" w:eastAsia="宋体" w:cs="宋体"/>
          <w:snapToGrid/>
          <w:color w:val="000000"/>
          <w:spacing w:val="0"/>
          <w:kern w:val="0"/>
          <w:sz w:val="24"/>
          <w:szCs w:val="24"/>
          <w:lang w:val="en-US" w:eastAsia="zh-CN" w:bidi="ar"/>
        </w:rPr>
        <w:t>理措施继续施工，并及时通知监理人。承包人应视为已取得工程有关风险、意外事件和其他情况的全部必要资料，并预见工程所有困难和费用。承包人遇到不可预见的困难和费用时，合同价格不予调整。</w:t>
      </w:r>
    </w:p>
    <w:p w14:paraId="4913B3F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5.  材料和工程设备</w:t>
      </w:r>
    </w:p>
    <w:p w14:paraId="29CDD9C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5.1 承包人提供的材料和工程设备</w:t>
      </w:r>
    </w:p>
    <w:p w14:paraId="31303CBA">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2"/>
          <w:sz w:val="24"/>
          <w:szCs w:val="24"/>
        </w:rPr>
      </w:pPr>
      <w:r>
        <w:rPr>
          <w:rFonts w:hint="eastAsia" w:ascii="宋体" w:hAnsi="宋体" w:eastAsia="宋体" w:cs="宋体"/>
          <w:snapToGrid/>
          <w:color w:val="000000"/>
          <w:spacing w:val="0"/>
          <w:kern w:val="2"/>
          <w:sz w:val="24"/>
          <w:szCs w:val="24"/>
          <w:lang w:val="en-US" w:eastAsia="zh-CN" w:bidi="ar"/>
        </w:rPr>
        <w:t xml:space="preserve">5.1.1 </w:t>
      </w:r>
      <w:r>
        <w:rPr>
          <w:rFonts w:hint="eastAsia" w:ascii="宋体" w:hAnsi="宋体" w:eastAsia="宋体" w:cs="宋体"/>
          <w:b w:val="0"/>
          <w:bCs w:val="0"/>
          <w:snapToGrid/>
          <w:color w:val="000000"/>
          <w:kern w:val="2"/>
          <w:sz w:val="24"/>
          <w:szCs w:val="24"/>
          <w:lang w:val="en-US" w:eastAsia="zh-CN" w:bidi="ar"/>
        </w:rPr>
        <w:t>承包人负责采购的设备及材料必须符合设计和国家电力行业有关规范和标准的要求，设备和材料生产企业应通过IS09001质量体系的认证。若因承包人采购的设备及材料存在质量问题，承包人应立即更换合格产品并在发包人指定期限内整改到位，由此造成的损失、责任由承包人承担。</w:t>
      </w:r>
    </w:p>
    <w:p w14:paraId="310980C6">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spacing w:val="0"/>
          <w:kern w:val="0"/>
          <w:sz w:val="24"/>
          <w:szCs w:val="24"/>
        </w:rPr>
      </w:pPr>
      <w:r>
        <w:rPr>
          <w:rFonts w:hint="eastAsia" w:ascii="宋体" w:hAnsi="宋体" w:eastAsia="宋体" w:cs="宋体"/>
          <w:snapToGrid/>
          <w:color w:val="000000"/>
          <w:spacing w:val="0"/>
          <w:kern w:val="0"/>
          <w:sz w:val="24"/>
          <w:szCs w:val="24"/>
          <w:lang w:val="en-US" w:eastAsia="zh-CN" w:bidi="ar"/>
        </w:rPr>
        <w:t>5.1.2 承包人在采购前将各项材料和工程设备的供货人及品种、技术要求、规格、数量和供货时间等报送监理人批准，并在发包人处备案，对不满足工程质量、安全或发包人合理要求的采购行为，发包人有权提出意见，承包人应及时改正。承包人应向监理人提交其负责提供的材料和工程设备的质量证明文件，并满足合同约定的质量标准。</w:t>
      </w:r>
    </w:p>
    <w:p w14:paraId="3DE3A07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5.1.3 承包人采购的设备或材料，如发包人有短名单限制，承包人只能从设备短名单内选择(或相当于)，承包人在采购前将材料和工程设备（含设备元器件）的供货人及品种、技术要求、规格、数量和供货时间等报送监理人批准，并在发包人处审批，</w:t>
      </w:r>
      <w:r>
        <w:rPr>
          <w:rFonts w:hint="eastAsia" w:ascii="宋体" w:hAnsi="宋体" w:eastAsia="宋体" w:cs="宋体"/>
          <w:snapToGrid/>
          <w:color w:val="000000"/>
          <w:kern w:val="0"/>
          <w:sz w:val="24"/>
          <w:szCs w:val="24"/>
          <w:lang w:val="en-US" w:eastAsia="zh-CN" w:bidi="ar"/>
        </w:rPr>
        <w:t>因承包人擅自更换引起的安全、质量、进度等一切损失及后果，由承包</w:t>
      </w:r>
      <w:r>
        <w:rPr>
          <w:rFonts w:hint="eastAsia" w:ascii="宋体" w:hAnsi="宋体" w:eastAsia="宋体" w:cs="宋体"/>
          <w:snapToGrid/>
          <w:color w:val="000000"/>
          <w:spacing w:val="0"/>
          <w:kern w:val="0"/>
          <w:sz w:val="24"/>
          <w:szCs w:val="24"/>
          <w:lang w:val="en-US" w:eastAsia="zh-CN" w:bidi="ar"/>
        </w:rPr>
        <w:t>人负责。</w:t>
      </w:r>
    </w:p>
    <w:p w14:paraId="6395234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5.1.4 因承包人提供的材料和工程设备不符合国家强制性标准、规范的规定或合同约定的标准、规范，所造成的质量缺陷，由承包人自费修复或重新采购，工期不顺延。</w:t>
      </w:r>
    </w:p>
    <w:p w14:paraId="771F1F8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spacing w:val="0"/>
          <w:kern w:val="0"/>
          <w:sz w:val="24"/>
          <w:szCs w:val="24"/>
        </w:rPr>
      </w:pPr>
      <w:r>
        <w:rPr>
          <w:rFonts w:hint="eastAsia" w:ascii="宋体" w:hAnsi="宋体" w:eastAsia="宋体" w:cs="宋体"/>
          <w:snapToGrid/>
          <w:color w:val="000000"/>
          <w:spacing w:val="0"/>
          <w:kern w:val="0"/>
          <w:sz w:val="24"/>
          <w:szCs w:val="24"/>
          <w:lang w:val="en-US" w:eastAsia="zh-CN" w:bidi="ar"/>
        </w:rPr>
        <w:t>5.1.5 工程成品管材余料处理：</w:t>
      </w:r>
      <w:r>
        <w:rPr>
          <w:rFonts w:hint="eastAsia" w:ascii="宋体" w:hAnsi="宋体" w:eastAsia="宋体" w:cs="宋体"/>
          <w:snapToGrid/>
          <w:color w:val="000000"/>
          <w:kern w:val="0"/>
          <w:sz w:val="24"/>
          <w:szCs w:val="24"/>
          <w:lang w:val="en-US" w:eastAsia="zh-CN" w:bidi="ar"/>
        </w:rPr>
        <w:t>承包人负责合同范围内的材料采购，成品管材</w:t>
      </w:r>
      <w:r>
        <w:rPr>
          <w:rFonts w:hint="eastAsia" w:ascii="宋体" w:hAnsi="宋体" w:eastAsia="宋体" w:cs="宋体"/>
          <w:snapToGrid/>
          <w:color w:val="000000"/>
          <w:spacing w:val="0"/>
          <w:kern w:val="0"/>
          <w:sz w:val="24"/>
          <w:szCs w:val="24"/>
          <w:lang w:val="en-US" w:eastAsia="zh-CN" w:bidi="ar"/>
        </w:rPr>
        <w:t>余料由承包人自行处理。</w:t>
      </w:r>
    </w:p>
    <w:p w14:paraId="1DB41879">
      <w:pPr>
        <w:pStyle w:val="19"/>
        <w:keepNext w:val="0"/>
        <w:keepLines w:val="0"/>
        <w:widowControl w:val="0"/>
        <w:suppressLineNumbers w:val="0"/>
        <w:autoSpaceDE w:val="0"/>
        <w:autoSpaceDN/>
        <w:spacing w:before="0" w:beforeAutospacing="0" w:after="0" w:afterAutospacing="0" w:line="420" w:lineRule="exact"/>
        <w:ind w:left="0" w:right="0" w:firstLine="480" w:firstLineChars="200"/>
        <w:jc w:val="both"/>
        <w:outlineLvl w:val="9"/>
        <w:rPr>
          <w:rFonts w:hint="eastAsia" w:ascii="黑体" w:hAnsi="宋体" w:eastAsia="黑体" w:cs="黑体"/>
          <w:sz w:val="24"/>
          <w:szCs w:val="24"/>
        </w:rPr>
      </w:pPr>
      <w:bookmarkStart w:id="312" w:name="_Toc256000130"/>
      <w:bookmarkEnd w:id="312"/>
      <w:r>
        <w:rPr>
          <w:rStyle w:val="78"/>
          <w:rFonts w:hint="eastAsia" w:ascii="黑体" w:hAnsi="宋体" w:eastAsia="黑体" w:cs="黑体"/>
          <w:kern w:val="2"/>
          <w:sz w:val="24"/>
          <w:szCs w:val="24"/>
          <w:lang w:val="en-US" w:eastAsia="zh-CN" w:bidi="ar"/>
        </w:rPr>
        <w:t>5.2 发包人提供的材料和工程设备</w:t>
      </w:r>
    </w:p>
    <w:p w14:paraId="084A21D1">
      <w:pPr>
        <w:keepNext w:val="0"/>
        <w:keepLines w:val="0"/>
        <w:widowControl/>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5.2.1 发包人供应的材料设备的保管费用的承担：发包人供应的材料和工程设备，承包人清点后由承包人妥善保管，保管费用由承包人承担，但已标价工程量清单或预算书已经列支或专用合同条款另有约定除外。因承包人原因发生丢失毁损的，由承包人负责赔偿；发包人未通知承包人清点的，承包人不负责材料和工程设备的保管，由此导致丢失毁损的由发包人负责。</w:t>
      </w:r>
    </w:p>
    <w:p w14:paraId="786AAB9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发包人供应的材料和工程设备使用前，由受委托的检测机构负责检验，检验费用由发包人承担，不合格的不得使用。</w:t>
      </w:r>
    </w:p>
    <w:p w14:paraId="72E0BB1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6.  施工设备和临时设施</w:t>
      </w:r>
    </w:p>
    <w:p w14:paraId="2C89AE0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spacing w:val="0"/>
          <w:kern w:val="0"/>
          <w:sz w:val="24"/>
          <w:szCs w:val="24"/>
        </w:rPr>
      </w:pPr>
      <w:r>
        <w:rPr>
          <w:rFonts w:hint="eastAsia" w:ascii="黑体" w:hAnsi="宋体" w:eastAsia="黑体" w:cs="黑体"/>
          <w:snapToGrid/>
          <w:color w:val="000000"/>
          <w:spacing w:val="0"/>
          <w:kern w:val="0"/>
          <w:sz w:val="24"/>
          <w:szCs w:val="24"/>
          <w:lang w:val="en-US" w:eastAsia="zh-CN" w:bidi="ar"/>
        </w:rPr>
        <w:t>6.1 承包人提供的施工设备和临时设施</w:t>
      </w:r>
    </w:p>
    <w:p w14:paraId="743B3AC9">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6.1.1 修建临时设施所需费用的承担：</w:t>
      </w:r>
      <w:r>
        <w:rPr>
          <w:rFonts w:hint="eastAsia" w:ascii="宋体" w:hAnsi="宋体" w:eastAsia="宋体" w:cs="宋体"/>
          <w:snapToGrid/>
          <w:color w:val="000000"/>
          <w:spacing w:val="0"/>
          <w:kern w:val="0"/>
          <w:sz w:val="24"/>
          <w:szCs w:val="24"/>
          <w:u w:val="single"/>
          <w:lang w:val="en-US" w:eastAsia="zh-CN" w:bidi="ar"/>
        </w:rPr>
        <w:t>由承包人承担</w:t>
      </w:r>
      <w:r>
        <w:rPr>
          <w:rFonts w:hint="eastAsia" w:ascii="宋体" w:hAnsi="宋体" w:eastAsia="宋体" w:cs="宋体"/>
          <w:snapToGrid/>
          <w:color w:val="000000"/>
          <w:spacing w:val="0"/>
          <w:kern w:val="0"/>
          <w:sz w:val="24"/>
          <w:szCs w:val="24"/>
          <w:lang w:val="en-US" w:eastAsia="zh-CN" w:bidi="ar"/>
        </w:rPr>
        <w:t>。</w:t>
      </w:r>
    </w:p>
    <w:p w14:paraId="20411D9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7.  交通运输</w:t>
      </w:r>
    </w:p>
    <w:p w14:paraId="6AC4CC1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7.1 道路通行权和场外设施</w:t>
      </w:r>
    </w:p>
    <w:p w14:paraId="29A48E7A">
      <w:pPr>
        <w:keepNext w:val="0"/>
        <w:keepLines w:val="0"/>
        <w:widowControl/>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u w:val="single"/>
          <w:lang w:val="en-US" w:eastAsia="zh-CN" w:bidi="ar"/>
        </w:rPr>
        <w:t>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r>
        <w:rPr>
          <w:rFonts w:hint="eastAsia" w:ascii="宋体" w:hAnsi="宋体" w:eastAsia="宋体" w:cs="宋体"/>
          <w:snapToGrid/>
          <w:color w:val="000000"/>
          <w:kern w:val="0"/>
          <w:sz w:val="24"/>
          <w:szCs w:val="24"/>
          <w:lang w:val="en-US" w:eastAsia="zh-CN" w:bidi="ar"/>
        </w:rPr>
        <w:t>。</w:t>
      </w:r>
    </w:p>
    <w:p w14:paraId="340D6417">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u w:val="single"/>
          <w:lang w:val="en-US" w:eastAsia="zh-CN" w:bidi="ar"/>
        </w:rPr>
        <w:t>承包人应在订立合同前查勘施工现场，并根据工程规模及技术参数合理预见工程施工所需的进出施工现场的方式、手段、路径等。因承包人未合理预见所增加的费用和（或）延误的工期由承包人承担</w:t>
      </w:r>
      <w:r>
        <w:rPr>
          <w:rFonts w:hint="eastAsia" w:ascii="宋体" w:hAnsi="宋体" w:eastAsia="宋体" w:cs="宋体"/>
          <w:snapToGrid/>
          <w:color w:val="000000"/>
          <w:kern w:val="0"/>
          <w:sz w:val="24"/>
          <w:szCs w:val="24"/>
          <w:lang w:val="en-US" w:eastAsia="zh-CN" w:bidi="ar"/>
        </w:rPr>
        <w:t>。</w:t>
      </w:r>
    </w:p>
    <w:p w14:paraId="245DE65F">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7.2 场内施工道路：</w:t>
      </w:r>
      <w:r>
        <w:rPr>
          <w:rFonts w:hint="eastAsia" w:ascii="宋体" w:hAnsi="宋体" w:eastAsia="宋体" w:cs="宋体"/>
          <w:snapToGrid/>
          <w:color w:val="000000"/>
          <w:kern w:val="0"/>
          <w:sz w:val="24"/>
          <w:szCs w:val="24"/>
          <w:u w:val="single"/>
          <w:lang w:val="en-US" w:eastAsia="zh-CN" w:bidi="ar"/>
        </w:rPr>
        <w:t>本项目用地红线内及设计图纸确定的范围为边界</w:t>
      </w:r>
      <w:r>
        <w:rPr>
          <w:rFonts w:hint="eastAsia" w:ascii="宋体" w:hAnsi="宋体" w:eastAsia="宋体" w:cs="宋体"/>
          <w:snapToGrid/>
          <w:color w:val="000000"/>
          <w:kern w:val="0"/>
          <w:sz w:val="24"/>
          <w:szCs w:val="24"/>
          <w:lang w:val="en-US" w:eastAsia="zh-CN" w:bidi="ar"/>
        </w:rPr>
        <w:t>。</w:t>
      </w:r>
    </w:p>
    <w:p w14:paraId="7FEA09B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7.2.1 场内道路及相关设施的维修、清扫、维修责任和所需费用的约定：</w:t>
      </w:r>
      <w:r>
        <w:rPr>
          <w:rFonts w:hint="eastAsia" w:ascii="宋体" w:hAnsi="宋体" w:eastAsia="宋体" w:cs="宋体"/>
          <w:snapToGrid/>
          <w:color w:val="000000"/>
          <w:kern w:val="0"/>
          <w:sz w:val="24"/>
          <w:szCs w:val="24"/>
          <w:u w:val="single"/>
          <w:lang w:val="en-US" w:eastAsia="zh-CN" w:bidi="ar"/>
        </w:rPr>
        <w:t>施工现场内除运输主干道外的道路（含其他施工临时道路）由承包人临时负责修建、维修、养护和管理等，并承担所有费用。施工现场内所有主干道路、其他临时道路等根据发包人批准的施工组织设计确定，承包人修建的场内临时道路和交通设施应免费提供给发包人和监理人使用。发包人确保场内外交通顺畅。施工场地出入口的临时道路维修、养护和管理由承包人负责，并由承包人承担该部分费用</w:t>
      </w:r>
      <w:r>
        <w:rPr>
          <w:rFonts w:hint="eastAsia" w:ascii="宋体" w:hAnsi="宋体" w:eastAsia="宋体" w:cs="宋体"/>
          <w:snapToGrid/>
          <w:color w:val="000000"/>
          <w:kern w:val="0"/>
          <w:sz w:val="24"/>
          <w:szCs w:val="24"/>
          <w:lang w:val="en-US" w:eastAsia="zh-CN" w:bidi="ar"/>
        </w:rPr>
        <w:t>。</w:t>
      </w:r>
    </w:p>
    <w:p w14:paraId="3DBC8F5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8.  测量放线</w:t>
      </w:r>
    </w:p>
    <w:p w14:paraId="1F76795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8.1 施工控制网</w:t>
      </w:r>
    </w:p>
    <w:p w14:paraId="558A01E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 xml:space="preserve">8.1.1 </w:t>
      </w:r>
      <w:r>
        <w:rPr>
          <w:rFonts w:hint="eastAsia" w:ascii="宋体" w:hAnsi="宋体" w:eastAsia="宋体" w:cs="宋体"/>
          <w:snapToGrid/>
          <w:color w:val="000000"/>
          <w:kern w:val="0"/>
          <w:sz w:val="24"/>
          <w:szCs w:val="24"/>
          <w:lang w:val="en-US" w:eastAsia="zh-CN" w:bidi="ar"/>
        </w:rPr>
        <w:t>发包人通过监理人向承包人提供测量基准点、基准线和水准点及其书面资料的期限：</w:t>
      </w:r>
      <w:r>
        <w:rPr>
          <w:rFonts w:hint="eastAsia" w:ascii="宋体" w:hAnsi="宋体" w:eastAsia="宋体" w:cs="宋体"/>
          <w:snapToGrid/>
          <w:color w:val="000000"/>
          <w:kern w:val="0"/>
          <w:sz w:val="24"/>
          <w:szCs w:val="24"/>
          <w:u w:val="single"/>
          <w:lang w:val="en-US" w:eastAsia="zh-CN" w:bidi="ar"/>
        </w:rPr>
        <w:t>开工日期前 3 天内提供，并进行现场交验，精度符合验收规范标准，做好交接记录</w:t>
      </w:r>
      <w:r>
        <w:rPr>
          <w:rFonts w:hint="eastAsia" w:ascii="宋体" w:hAnsi="宋体" w:eastAsia="宋体" w:cs="宋体"/>
          <w:snapToGrid/>
          <w:color w:val="000000"/>
          <w:kern w:val="0"/>
          <w:sz w:val="24"/>
          <w:szCs w:val="24"/>
          <w:lang w:val="en-US" w:eastAsia="zh-CN" w:bidi="ar"/>
        </w:rPr>
        <w:t>。</w:t>
      </w:r>
    </w:p>
    <w:p w14:paraId="46B06A3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9.  施工安全、治安保卫和环境保护</w:t>
      </w:r>
    </w:p>
    <w:p w14:paraId="36F7074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9.2 承包人的安全责任</w:t>
      </w:r>
    </w:p>
    <w:p w14:paraId="61759A8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9.2.1 承包人应按合同约定履行安全职责，执行监理人有关安全工作的指示，并在监理人下达安全工作指示后</w:t>
      </w:r>
      <w:r>
        <w:rPr>
          <w:rFonts w:hint="eastAsia" w:ascii="宋体" w:hAnsi="宋体" w:eastAsia="宋体" w:cs="宋体"/>
          <w:snapToGrid/>
          <w:color w:val="000000"/>
          <w:spacing w:val="0"/>
          <w:kern w:val="0"/>
          <w:sz w:val="24"/>
          <w:szCs w:val="24"/>
          <w:u w:val="single"/>
          <w:lang w:val="en-US" w:eastAsia="zh-CN" w:bidi="ar"/>
        </w:rPr>
        <w:t xml:space="preserve"> 3 </w:t>
      </w:r>
      <w:r>
        <w:rPr>
          <w:rFonts w:hint="eastAsia" w:ascii="宋体" w:hAnsi="宋体" w:eastAsia="宋体" w:cs="宋体"/>
          <w:snapToGrid/>
          <w:color w:val="000000"/>
          <w:spacing w:val="0"/>
          <w:kern w:val="0"/>
          <w:sz w:val="24"/>
          <w:szCs w:val="24"/>
          <w:lang w:val="en-US" w:eastAsia="zh-CN" w:bidi="ar"/>
        </w:rPr>
        <w:t>日内，按合同约定的安全工作内容，编制安全措施计划报送监理人批准。</w:t>
      </w:r>
    </w:p>
    <w:p w14:paraId="59414BE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9.2.2 若承包人不能根据工程需要及时配备劳动保护用品、安全防护材料、工器具、设备、消防设施，发包人有权直接购置，相关费用从工程结算价款扣回，同</w:t>
      </w:r>
      <w:r>
        <w:rPr>
          <w:rFonts w:hint="eastAsia" w:ascii="宋体" w:hAnsi="宋体" w:eastAsia="宋体" w:cs="宋体"/>
          <w:snapToGrid/>
          <w:color w:val="000000"/>
          <w:kern w:val="0"/>
          <w:sz w:val="24"/>
          <w:szCs w:val="24"/>
          <w:lang w:val="en-US" w:eastAsia="zh-CN" w:bidi="ar"/>
        </w:rPr>
        <w:t>时</w:t>
      </w:r>
      <w:r>
        <w:rPr>
          <w:rFonts w:hint="eastAsia" w:ascii="宋体" w:hAnsi="宋体" w:eastAsia="宋体" w:cs="宋体"/>
          <w:snapToGrid/>
          <w:color w:val="000000"/>
          <w:spacing w:val="0"/>
          <w:kern w:val="0"/>
          <w:sz w:val="24"/>
          <w:szCs w:val="24"/>
          <w:lang w:val="en-US" w:eastAsia="zh-CN" w:bidi="ar"/>
        </w:rPr>
        <w:t>并不免除承包人应承担的责任。</w:t>
      </w:r>
    </w:p>
    <w:p w14:paraId="58E9BA5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9.5 事故处理</w:t>
      </w:r>
    </w:p>
    <w:p w14:paraId="1F2AAAB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在工程实施期间或缺陷责任期内发生危及工程安全的事件，监理人通知承包人</w:t>
      </w:r>
      <w:r>
        <w:rPr>
          <w:rFonts w:hint="eastAsia" w:ascii="宋体" w:hAnsi="宋体" w:eastAsia="宋体" w:cs="宋体"/>
          <w:snapToGrid/>
          <w:color w:val="000000"/>
          <w:kern w:val="0"/>
          <w:sz w:val="24"/>
          <w:szCs w:val="24"/>
          <w:lang w:val="en-US" w:eastAsia="zh-CN" w:bidi="ar"/>
        </w:rPr>
        <w:t>进</w:t>
      </w:r>
      <w:r>
        <w:rPr>
          <w:rFonts w:hint="eastAsia" w:ascii="宋体" w:hAnsi="宋体" w:eastAsia="宋体" w:cs="宋体"/>
          <w:snapToGrid/>
          <w:color w:val="000000"/>
          <w:spacing w:val="0"/>
          <w:kern w:val="0"/>
          <w:sz w:val="24"/>
          <w:szCs w:val="24"/>
          <w:lang w:val="en-US" w:eastAsia="zh-CN" w:bidi="ar"/>
        </w:rPr>
        <w:t>行抢救和抢修，承包人声明无能力或不愿立即执行的，发包人有权雇佣第三方进行</w:t>
      </w:r>
      <w:r>
        <w:rPr>
          <w:rFonts w:hint="eastAsia" w:ascii="宋体" w:hAnsi="宋体" w:eastAsia="宋体" w:cs="宋体"/>
          <w:snapToGrid/>
          <w:color w:val="000000"/>
          <w:kern w:val="0"/>
          <w:sz w:val="24"/>
          <w:szCs w:val="24"/>
          <w:lang w:val="en-US" w:eastAsia="zh-CN" w:bidi="ar"/>
        </w:rPr>
        <w:t>抢救和抢修。此类抢救和抢修按合同约定属于承包人义务的，由</w:t>
      </w:r>
      <w:r>
        <w:rPr>
          <w:rFonts w:hint="eastAsia" w:ascii="宋体" w:hAnsi="宋体" w:eastAsia="宋体" w:cs="宋体"/>
          <w:snapToGrid/>
          <w:color w:val="000000"/>
          <w:spacing w:val="0"/>
          <w:kern w:val="0"/>
          <w:sz w:val="24"/>
          <w:szCs w:val="24"/>
          <w:lang w:val="en-US" w:eastAsia="zh-CN" w:bidi="ar"/>
        </w:rPr>
        <w:t>此增加的费用和（或）延误工期由承包人承担。</w:t>
      </w:r>
    </w:p>
    <w:p w14:paraId="028A604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10.  进度计划</w:t>
      </w:r>
    </w:p>
    <w:p w14:paraId="7D0B0A23">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10.1 合同进度计划</w:t>
      </w:r>
    </w:p>
    <w:p w14:paraId="5F063FB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spacing w:val="0"/>
          <w:kern w:val="0"/>
          <w:sz w:val="24"/>
          <w:szCs w:val="24"/>
          <w:lang w:val="en-US" w:eastAsia="zh-CN" w:bidi="ar"/>
        </w:rPr>
        <w:t>承包人向监理人提交合同进度计划的期限：</w:t>
      </w:r>
      <w:r>
        <w:rPr>
          <w:rFonts w:hint="eastAsia" w:ascii="宋体" w:hAnsi="宋体" w:eastAsia="宋体" w:cs="宋体"/>
          <w:snapToGrid/>
          <w:color w:val="000000"/>
          <w:spacing w:val="0"/>
          <w:kern w:val="0"/>
          <w:sz w:val="24"/>
          <w:szCs w:val="24"/>
          <w:u w:val="single"/>
          <w:lang w:val="en-US" w:eastAsia="zh-CN" w:bidi="ar"/>
        </w:rPr>
        <w:t>合同签订后 7 日内提交项目整体进</w:t>
      </w:r>
      <w:r>
        <w:rPr>
          <w:rFonts w:hint="eastAsia" w:ascii="宋体" w:hAnsi="宋体" w:eastAsia="宋体" w:cs="宋体"/>
          <w:snapToGrid/>
          <w:color w:val="000000"/>
          <w:kern w:val="0"/>
          <w:sz w:val="24"/>
          <w:szCs w:val="24"/>
          <w:u w:val="single"/>
          <w:lang w:val="en-US" w:eastAsia="zh-CN" w:bidi="ar"/>
        </w:rPr>
        <w:t>度</w:t>
      </w:r>
      <w:r>
        <w:rPr>
          <w:rFonts w:hint="eastAsia" w:ascii="宋体" w:hAnsi="宋体" w:eastAsia="宋体" w:cs="宋体"/>
          <w:snapToGrid/>
          <w:color w:val="000000"/>
          <w:spacing w:val="0"/>
          <w:kern w:val="0"/>
          <w:sz w:val="24"/>
          <w:szCs w:val="24"/>
          <w:u w:val="single"/>
          <w:lang w:val="en-US" w:eastAsia="zh-CN" w:bidi="ar"/>
        </w:rPr>
        <w:t>计划，每月 25 日提交下月进度计划；若承包人未按时提交进度报告，每逾期 1 天支付违约金 1000 元；进度报告内容虚假或与实际不符，每次支付违约金 5000 元</w:t>
      </w:r>
      <w:r>
        <w:rPr>
          <w:rFonts w:hint="eastAsia" w:ascii="宋体" w:hAnsi="宋体" w:eastAsia="宋体" w:cs="宋体"/>
          <w:snapToGrid/>
          <w:color w:val="000000"/>
          <w:spacing w:val="0"/>
          <w:kern w:val="0"/>
          <w:sz w:val="24"/>
          <w:szCs w:val="24"/>
          <w:lang w:val="en-US" w:eastAsia="zh-CN" w:bidi="ar"/>
        </w:rPr>
        <w:t>。</w:t>
      </w:r>
    </w:p>
    <w:p w14:paraId="04AFF9D6">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spacing w:val="0"/>
          <w:kern w:val="0"/>
          <w:sz w:val="24"/>
          <w:szCs w:val="24"/>
          <w:lang w:val="en-US" w:eastAsia="zh-CN" w:bidi="ar"/>
        </w:rPr>
        <w:t>监理人收到合同进度计划后的批复或提出修改意见的期限：</w:t>
      </w:r>
      <w:r>
        <w:rPr>
          <w:rFonts w:hint="eastAsia" w:ascii="宋体" w:hAnsi="宋体" w:eastAsia="宋体" w:cs="宋体"/>
          <w:snapToGrid/>
          <w:color w:val="000000"/>
          <w:spacing w:val="0"/>
          <w:kern w:val="0"/>
          <w:sz w:val="24"/>
          <w:szCs w:val="24"/>
          <w:u w:val="single"/>
          <w:lang w:val="en-US" w:eastAsia="zh-CN" w:bidi="ar"/>
        </w:rPr>
        <w:t>监理人应在收到进度</w:t>
      </w:r>
      <w:r>
        <w:rPr>
          <w:rFonts w:hint="eastAsia" w:ascii="宋体" w:hAnsi="宋体" w:eastAsia="宋体" w:cs="宋体"/>
          <w:snapToGrid/>
          <w:color w:val="000000"/>
          <w:kern w:val="0"/>
          <w:sz w:val="24"/>
          <w:szCs w:val="24"/>
          <w:lang w:val="en-US" w:eastAsia="zh-CN" w:bidi="ar"/>
        </w:rPr>
        <w:t xml:space="preserve"> </w:t>
      </w:r>
      <w:r>
        <w:rPr>
          <w:rFonts w:hint="eastAsia" w:ascii="宋体" w:hAnsi="宋体" w:eastAsia="宋体" w:cs="宋体"/>
          <w:snapToGrid/>
          <w:color w:val="000000"/>
          <w:spacing w:val="0"/>
          <w:kern w:val="0"/>
          <w:sz w:val="24"/>
          <w:szCs w:val="24"/>
          <w:u w:val="single"/>
          <w:lang w:val="en-US" w:eastAsia="zh-CN" w:bidi="ar"/>
        </w:rPr>
        <w:t>计划后 5 天内批复或提出修改意见</w:t>
      </w:r>
      <w:r>
        <w:rPr>
          <w:rFonts w:hint="eastAsia" w:ascii="宋体" w:hAnsi="宋体" w:eastAsia="宋体" w:cs="宋体"/>
          <w:snapToGrid/>
          <w:color w:val="000000"/>
          <w:spacing w:val="0"/>
          <w:kern w:val="0"/>
          <w:sz w:val="24"/>
          <w:szCs w:val="24"/>
          <w:lang w:val="en-US" w:eastAsia="zh-CN" w:bidi="ar"/>
        </w:rPr>
        <w:t>。</w:t>
      </w:r>
    </w:p>
    <w:p w14:paraId="3AC30F8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kern w:val="0"/>
          <w:sz w:val="24"/>
          <w:szCs w:val="24"/>
        </w:rPr>
      </w:pPr>
      <w:r>
        <w:rPr>
          <w:rFonts w:hint="eastAsia" w:ascii="黑体" w:hAnsi="宋体" w:eastAsia="黑体" w:cs="黑体"/>
          <w:snapToGrid/>
          <w:color w:val="000000"/>
          <w:spacing w:val="0"/>
          <w:kern w:val="0"/>
          <w:sz w:val="24"/>
          <w:szCs w:val="24"/>
          <w:lang w:val="en-US" w:eastAsia="zh-CN" w:bidi="ar"/>
        </w:rPr>
        <w:t>10.2 合同进度计划的修订</w:t>
      </w:r>
    </w:p>
    <w:p w14:paraId="42CDD066">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spacing w:val="0"/>
          <w:kern w:val="0"/>
          <w:sz w:val="24"/>
          <w:szCs w:val="24"/>
          <w:lang w:val="en-US" w:eastAsia="zh-CN" w:bidi="ar"/>
        </w:rPr>
        <w:t>承包人向监理人提交修订的合同进度计划的期限：</w:t>
      </w:r>
      <w:r>
        <w:rPr>
          <w:rFonts w:hint="eastAsia" w:ascii="宋体" w:hAnsi="宋体" w:eastAsia="宋体" w:cs="宋体"/>
          <w:snapToGrid/>
          <w:color w:val="000000"/>
          <w:spacing w:val="0"/>
          <w:kern w:val="0"/>
          <w:sz w:val="24"/>
          <w:szCs w:val="24"/>
          <w:u w:val="single"/>
          <w:lang w:val="en-US" w:eastAsia="zh-CN" w:bidi="ar"/>
        </w:rPr>
        <w:t>在修订合同进度计划申请报告经监理人批准后3日内或监理人直接向承包人作出修订合同进度计划指示后3日内</w:t>
      </w:r>
      <w:r>
        <w:rPr>
          <w:rFonts w:hint="eastAsia" w:ascii="宋体" w:hAnsi="宋体" w:eastAsia="宋体" w:cs="宋体"/>
          <w:snapToGrid/>
          <w:color w:val="000000"/>
          <w:spacing w:val="0"/>
          <w:kern w:val="0"/>
          <w:sz w:val="24"/>
          <w:szCs w:val="24"/>
          <w:lang w:val="en-US" w:eastAsia="zh-CN" w:bidi="ar"/>
        </w:rPr>
        <w:t>。</w:t>
      </w:r>
    </w:p>
    <w:p w14:paraId="2D68FEB0">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spacing w:val="0"/>
          <w:kern w:val="0"/>
          <w:sz w:val="24"/>
          <w:szCs w:val="24"/>
          <w:lang w:val="en-US" w:eastAsia="zh-CN" w:bidi="ar"/>
        </w:rPr>
        <w:t>监理人收到修订的合同进度计划的批准期限：</w:t>
      </w:r>
      <w:r>
        <w:rPr>
          <w:rFonts w:hint="eastAsia" w:ascii="宋体" w:hAnsi="宋体" w:eastAsia="宋体" w:cs="宋体"/>
          <w:snapToGrid/>
          <w:color w:val="000000"/>
          <w:spacing w:val="0"/>
          <w:kern w:val="0"/>
          <w:sz w:val="24"/>
          <w:szCs w:val="24"/>
          <w:u w:val="single"/>
          <w:lang w:val="en-US" w:eastAsia="zh-CN" w:bidi="ar"/>
        </w:rPr>
        <w:t>监理人应在收到修订后的合同进度计划后3日内批复</w:t>
      </w:r>
      <w:r>
        <w:rPr>
          <w:rFonts w:hint="eastAsia" w:ascii="宋体" w:hAnsi="宋体" w:eastAsia="宋体" w:cs="宋体"/>
          <w:snapToGrid/>
          <w:color w:val="000000"/>
          <w:spacing w:val="0"/>
          <w:kern w:val="0"/>
          <w:sz w:val="24"/>
          <w:szCs w:val="24"/>
          <w:lang w:val="en-US" w:eastAsia="zh-CN" w:bidi="ar"/>
        </w:rPr>
        <w:t>。</w:t>
      </w:r>
    </w:p>
    <w:p w14:paraId="7B167348">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11.  开工和竣工</w:t>
      </w:r>
    </w:p>
    <w:p w14:paraId="6FFEAA9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11.1 开工</w:t>
      </w:r>
    </w:p>
    <w:p w14:paraId="462FD10E">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11.1.1 开工准备</w:t>
      </w:r>
    </w:p>
    <w:p w14:paraId="09C2A7EC">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lang w:val="en-US" w:eastAsia="zh-CN" w:bidi="ar"/>
        </w:rPr>
        <w:t>关于承包人提交工程开工报审表的期限：</w:t>
      </w:r>
      <w:r>
        <w:rPr>
          <w:rFonts w:hint="eastAsia" w:ascii="宋体" w:hAnsi="宋体" w:eastAsia="宋体" w:cs="宋体"/>
          <w:snapToGrid/>
          <w:color w:val="000000"/>
          <w:kern w:val="0"/>
          <w:sz w:val="24"/>
          <w:szCs w:val="24"/>
          <w:u w:val="single"/>
          <w:lang w:val="en-US" w:eastAsia="zh-CN" w:bidi="ar"/>
        </w:rPr>
        <w:t xml:space="preserve"> 合同签订后 3 天内 </w:t>
      </w:r>
      <w:r>
        <w:rPr>
          <w:rFonts w:hint="eastAsia" w:ascii="宋体" w:hAnsi="宋体" w:eastAsia="宋体" w:cs="宋体"/>
          <w:snapToGrid/>
          <w:color w:val="000000"/>
          <w:kern w:val="0"/>
          <w:sz w:val="24"/>
          <w:szCs w:val="24"/>
          <w:lang w:val="en-US" w:eastAsia="zh-CN" w:bidi="ar"/>
        </w:rPr>
        <w:t>。</w:t>
      </w:r>
    </w:p>
    <w:p w14:paraId="47412D2E">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关于发包人应完成的其他开工准备工作及期限：</w:t>
      </w:r>
      <w:r>
        <w:rPr>
          <w:rFonts w:hint="eastAsia" w:ascii="宋体" w:hAnsi="宋体" w:eastAsia="宋体" w:cs="宋体"/>
          <w:snapToGrid/>
          <w:color w:val="000000"/>
          <w:kern w:val="0"/>
          <w:sz w:val="24"/>
          <w:szCs w:val="24"/>
          <w:u w:val="single"/>
          <w:lang w:val="en-US" w:eastAsia="zh-CN" w:bidi="ar"/>
        </w:rPr>
        <w:t xml:space="preserve"> 合同签订后 3 天内 </w:t>
      </w:r>
      <w:r>
        <w:rPr>
          <w:rFonts w:hint="eastAsia" w:ascii="宋体" w:hAnsi="宋体" w:eastAsia="宋体" w:cs="宋体"/>
          <w:snapToGrid/>
          <w:color w:val="000000"/>
          <w:kern w:val="0"/>
          <w:sz w:val="24"/>
          <w:szCs w:val="24"/>
          <w:lang w:val="en-US" w:eastAsia="zh-CN" w:bidi="ar"/>
        </w:rPr>
        <w:t>。</w:t>
      </w:r>
    </w:p>
    <w:p w14:paraId="716C9EB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关于承包人应完成的其他开工准备工作及期限：</w:t>
      </w:r>
      <w:r>
        <w:rPr>
          <w:rFonts w:hint="eastAsia" w:ascii="宋体" w:hAnsi="宋体" w:eastAsia="宋体" w:cs="宋体"/>
          <w:snapToGrid/>
          <w:color w:val="000000"/>
          <w:kern w:val="0"/>
          <w:sz w:val="24"/>
          <w:szCs w:val="24"/>
          <w:u w:val="single"/>
          <w:lang w:val="en-US" w:eastAsia="zh-CN" w:bidi="ar"/>
        </w:rPr>
        <w:t xml:space="preserve"> 合同签订后 3 天内 </w:t>
      </w:r>
      <w:r>
        <w:rPr>
          <w:rFonts w:hint="eastAsia" w:ascii="宋体" w:hAnsi="宋体" w:eastAsia="宋体" w:cs="宋体"/>
          <w:snapToGrid/>
          <w:color w:val="000000"/>
          <w:kern w:val="0"/>
          <w:sz w:val="24"/>
          <w:szCs w:val="24"/>
          <w:lang w:val="en-US" w:eastAsia="zh-CN" w:bidi="ar"/>
        </w:rPr>
        <w:t>。</w:t>
      </w:r>
    </w:p>
    <w:p w14:paraId="31AC74A4">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11.1.2 开工通知</w:t>
      </w:r>
    </w:p>
    <w:p w14:paraId="1AE6FAB4">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因发包人原因造成监理人未能在计划开工日期之日起</w:t>
      </w:r>
      <w:r>
        <w:rPr>
          <w:rFonts w:hint="eastAsia" w:ascii="宋体" w:hAnsi="宋体" w:eastAsia="宋体" w:cs="宋体"/>
          <w:snapToGrid/>
          <w:color w:val="000000"/>
          <w:kern w:val="0"/>
          <w:sz w:val="24"/>
          <w:szCs w:val="24"/>
          <w:u w:val="single"/>
          <w:lang w:val="en-US" w:eastAsia="zh-CN" w:bidi="ar"/>
        </w:rPr>
        <w:t xml:space="preserve"> 30 </w:t>
      </w:r>
      <w:r>
        <w:rPr>
          <w:rFonts w:hint="eastAsia" w:ascii="宋体" w:hAnsi="宋体" w:eastAsia="宋体" w:cs="宋体"/>
          <w:snapToGrid/>
          <w:color w:val="000000"/>
          <w:kern w:val="0"/>
          <w:sz w:val="24"/>
          <w:szCs w:val="24"/>
          <w:lang w:val="en-US" w:eastAsia="zh-CN" w:bidi="ar"/>
        </w:rPr>
        <w:t>天内发出开工通知的，承包人有权提出价格调整要求，或者解除合同。</w:t>
      </w:r>
    </w:p>
    <w:p w14:paraId="516BC4E7">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sz w:val="24"/>
          <w:szCs w:val="24"/>
        </w:rPr>
      </w:pPr>
      <w:r>
        <w:rPr>
          <w:rFonts w:hint="eastAsia" w:ascii="黑体" w:hAnsi="宋体" w:eastAsia="黑体" w:cs="黑体"/>
          <w:b w:val="0"/>
          <w:bCs w:val="0"/>
          <w:snapToGrid/>
          <w:color w:val="000000"/>
          <w:spacing w:val="0"/>
          <w:kern w:val="0"/>
          <w:sz w:val="24"/>
          <w:szCs w:val="24"/>
          <w:lang w:val="en-US" w:eastAsia="zh-CN" w:bidi="ar"/>
        </w:rPr>
        <w:t xml:space="preserve">11.3 </w:t>
      </w:r>
      <w:r>
        <w:rPr>
          <w:rStyle w:val="78"/>
          <w:rFonts w:hint="eastAsia" w:ascii="黑体" w:hAnsi="宋体" w:eastAsia="黑体" w:cs="黑体"/>
          <w:color w:val="000000"/>
          <w:kern w:val="2"/>
          <w:sz w:val="24"/>
          <w:szCs w:val="24"/>
          <w:lang w:val="en-US" w:eastAsia="zh-CN" w:bidi="ar"/>
        </w:rPr>
        <w:t>发包人的工期延误</w:t>
      </w:r>
    </w:p>
    <w:p w14:paraId="19760AD8">
      <w:pPr>
        <w:keepNext w:val="0"/>
        <w:keepLines w:val="0"/>
        <w:widowControl/>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lang w:val="en-US" w:eastAsia="zh-CN" w:bidi="ar"/>
        </w:rPr>
        <w:t xml:space="preserve">11.3.1 </w:t>
      </w:r>
      <w:r>
        <w:rPr>
          <w:rFonts w:hint="eastAsia" w:ascii="宋体" w:hAnsi="宋体" w:eastAsia="宋体" w:cs="宋体"/>
          <w:snapToGrid/>
          <w:color w:val="000000"/>
          <w:kern w:val="0"/>
          <w:sz w:val="24"/>
          <w:szCs w:val="24"/>
          <w:u w:val="single"/>
          <w:lang w:val="en-US" w:eastAsia="zh-CN" w:bidi="ar"/>
        </w:rPr>
        <w:t>合同专用条款中约定或经发包人及监理人同意工期顺延的其他情况</w:t>
      </w:r>
      <w:r>
        <w:rPr>
          <w:rFonts w:hint="eastAsia" w:ascii="宋体" w:hAnsi="宋体" w:eastAsia="宋体" w:cs="宋体"/>
          <w:snapToGrid/>
          <w:color w:val="000000"/>
          <w:kern w:val="0"/>
          <w:sz w:val="24"/>
          <w:szCs w:val="24"/>
          <w:lang w:val="en-US" w:eastAsia="zh-CN" w:bidi="ar"/>
        </w:rPr>
        <w:t>。</w:t>
      </w:r>
    </w:p>
    <w:p w14:paraId="20C700B6">
      <w:pPr>
        <w:keepNext w:val="0"/>
        <w:keepLines w:val="0"/>
        <w:widowControl/>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napToGrid/>
          <w:color w:val="000000"/>
          <w:kern w:val="0"/>
          <w:sz w:val="24"/>
          <w:szCs w:val="24"/>
          <w:lang w:val="en-US" w:eastAsia="zh-CN" w:bidi="ar"/>
        </w:rPr>
        <w:t xml:space="preserve">11.3.2 </w:t>
      </w:r>
      <w:r>
        <w:rPr>
          <w:rFonts w:hint="eastAsia" w:ascii="宋体" w:hAnsi="宋体" w:eastAsia="宋体" w:cs="宋体"/>
          <w:snapToGrid/>
          <w:color w:val="000000"/>
          <w:kern w:val="0"/>
          <w:sz w:val="24"/>
          <w:szCs w:val="24"/>
          <w:u w:val="single"/>
          <w:lang w:val="en-US" w:eastAsia="zh-CN" w:bidi="ar"/>
        </w:rPr>
        <w:t>承包人在上述情况发生 7 天内，就延误的工期以书面形式发包人提出报告，未提出报告视为不需要顺延工期。发包人在收到报告 3 天内予以确认，逾期不予确认，逾期不予确认也不出修改意见，视为同意顺延工期</w:t>
      </w:r>
      <w:r>
        <w:rPr>
          <w:rFonts w:hint="eastAsia" w:ascii="宋体" w:hAnsi="宋体" w:eastAsia="宋体" w:cs="宋体"/>
          <w:snapToGrid/>
          <w:color w:val="000000"/>
          <w:kern w:val="0"/>
          <w:sz w:val="24"/>
          <w:szCs w:val="24"/>
          <w:lang w:val="en-US" w:eastAsia="zh-CN" w:bidi="ar"/>
        </w:rPr>
        <w:t xml:space="preserve">。 </w:t>
      </w:r>
    </w:p>
    <w:p w14:paraId="33283DB9">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spacing w:val="0"/>
          <w:kern w:val="0"/>
          <w:sz w:val="24"/>
          <w:szCs w:val="24"/>
        </w:rPr>
      </w:pPr>
      <w:r>
        <w:rPr>
          <w:rFonts w:hint="eastAsia" w:ascii="黑体" w:hAnsi="宋体" w:eastAsia="黑体" w:cs="黑体"/>
          <w:snapToGrid/>
          <w:color w:val="000000"/>
          <w:spacing w:val="0"/>
          <w:kern w:val="0"/>
          <w:sz w:val="24"/>
          <w:szCs w:val="24"/>
          <w:lang w:val="en-US" w:eastAsia="zh-CN" w:bidi="ar"/>
        </w:rPr>
        <w:t>11.4 异常恶劣的气候条件</w:t>
      </w:r>
    </w:p>
    <w:p w14:paraId="47499F70">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发包人和承包人同意以下情形视为异常恶劣的气候条件：</w:t>
      </w:r>
      <w:r>
        <w:rPr>
          <w:rFonts w:hint="eastAsia" w:ascii="宋体" w:hAnsi="宋体" w:eastAsia="宋体" w:cs="宋体"/>
          <w:snapToGrid/>
          <w:color w:val="000000"/>
          <w:kern w:val="0"/>
          <w:sz w:val="24"/>
          <w:szCs w:val="24"/>
          <w:u w:val="single"/>
          <w:lang w:val="en-US" w:eastAsia="zh-CN" w:bidi="ar"/>
        </w:rPr>
        <w:t>由于出现持续一周的暴雨、暴雪或强烈地震等异常恶劣的气候条件导致工期延误的、承包人有权要求发包人顺延工期。气候条件以当地气象部门公布的数据为准</w:t>
      </w:r>
      <w:r>
        <w:rPr>
          <w:rFonts w:hint="eastAsia" w:ascii="宋体" w:hAnsi="宋体" w:eastAsia="宋体" w:cs="宋体"/>
          <w:snapToGrid/>
          <w:color w:val="000000"/>
          <w:kern w:val="0"/>
          <w:sz w:val="24"/>
          <w:szCs w:val="24"/>
          <w:lang w:val="en-US" w:eastAsia="zh-CN" w:bidi="ar"/>
        </w:rPr>
        <w:t>。</w:t>
      </w:r>
    </w:p>
    <w:p w14:paraId="0ACA1C71">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11.5 承包人引起的工期延误</w:t>
      </w:r>
    </w:p>
    <w:p w14:paraId="291B7697">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因</w:t>
      </w:r>
      <w:bookmarkStart w:id="313" w:name="_Toc312678013"/>
      <w:bookmarkEnd w:id="313"/>
      <w:bookmarkStart w:id="314" w:name="_Toc312677487"/>
      <w:bookmarkEnd w:id="314"/>
      <w:bookmarkStart w:id="315" w:name="_Toc318581170"/>
      <w:r>
        <w:rPr>
          <w:rFonts w:hint="eastAsia" w:ascii="宋体" w:hAnsi="宋体" w:eastAsia="宋体" w:cs="宋体"/>
          <w:snapToGrid/>
          <w:color w:val="000000"/>
          <w:kern w:val="0"/>
          <w:sz w:val="24"/>
          <w:szCs w:val="24"/>
          <w:lang w:val="en-US" w:eastAsia="zh-CN" w:bidi="ar"/>
        </w:rPr>
        <w:t>承包人原因造成工期延误，逾期竣工违约金的计算方法为：</w:t>
      </w:r>
      <w:bookmarkEnd w:id="315"/>
      <w:r>
        <w:rPr>
          <w:rFonts w:hint="eastAsia" w:ascii="宋体" w:hAnsi="宋体" w:eastAsia="宋体" w:cs="宋体"/>
          <w:snapToGrid/>
          <w:color w:val="000000"/>
          <w:kern w:val="0"/>
          <w:sz w:val="24"/>
          <w:szCs w:val="24"/>
          <w:u w:val="single"/>
          <w:lang w:val="en-US" w:eastAsia="zh-CN" w:bidi="ar"/>
        </w:rPr>
        <w:t>每延迟一天承包人向发包人支付 5000 元/天违约金，发包人可在结算时予以扣除</w:t>
      </w:r>
      <w:r>
        <w:rPr>
          <w:rFonts w:hint="eastAsia" w:ascii="宋体" w:hAnsi="宋体" w:eastAsia="宋体" w:cs="宋体"/>
          <w:snapToGrid/>
          <w:color w:val="000000"/>
          <w:kern w:val="0"/>
          <w:sz w:val="24"/>
          <w:szCs w:val="24"/>
          <w:lang w:val="en-US" w:eastAsia="zh-CN" w:bidi="ar"/>
        </w:rPr>
        <w:t>。</w:t>
      </w:r>
    </w:p>
    <w:p w14:paraId="3A58D849">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lang w:val="en-US" w:eastAsia="zh-CN" w:bidi="ar"/>
        </w:rPr>
        <w:t>因承包人原因造成工期延误，逾</w:t>
      </w:r>
      <w:bookmarkStart w:id="316" w:name="_Toc312678014"/>
      <w:bookmarkEnd w:id="316"/>
      <w:bookmarkStart w:id="317" w:name="_Toc318581171"/>
      <w:r>
        <w:rPr>
          <w:rFonts w:hint="eastAsia" w:ascii="宋体" w:hAnsi="宋体" w:eastAsia="宋体" w:cs="宋体"/>
          <w:snapToGrid/>
          <w:color w:val="000000"/>
          <w:kern w:val="0"/>
          <w:sz w:val="24"/>
          <w:szCs w:val="24"/>
          <w:lang w:val="en-US" w:eastAsia="zh-CN" w:bidi="ar"/>
        </w:rPr>
        <w:t>期竣工违约金的上限：</w:t>
      </w:r>
      <w:bookmarkEnd w:id="317"/>
      <w:r>
        <w:rPr>
          <w:rFonts w:hint="eastAsia" w:ascii="宋体" w:hAnsi="宋体" w:eastAsia="宋体" w:cs="宋体"/>
          <w:snapToGrid/>
          <w:color w:val="000000"/>
          <w:kern w:val="0"/>
          <w:sz w:val="24"/>
          <w:szCs w:val="24"/>
          <w:u w:val="single"/>
          <w:lang w:val="en-US" w:eastAsia="zh-CN" w:bidi="ar"/>
        </w:rPr>
        <w:t>总额不超过工程总造价的10%</w:t>
      </w:r>
      <w:r>
        <w:rPr>
          <w:rFonts w:hint="eastAsia" w:ascii="宋体" w:hAnsi="宋体" w:eastAsia="宋体" w:cs="宋体"/>
          <w:snapToGrid/>
          <w:color w:val="000000"/>
          <w:kern w:val="0"/>
          <w:sz w:val="24"/>
          <w:szCs w:val="24"/>
          <w:lang w:val="en-US" w:eastAsia="zh-CN" w:bidi="ar"/>
        </w:rPr>
        <w:t>。</w:t>
      </w:r>
    </w:p>
    <w:p w14:paraId="3C3D37B7">
      <w:pPr>
        <w:keepNext w:val="0"/>
        <w:keepLines w:val="0"/>
        <w:widowControl/>
        <w:suppressLineNumbers w:val="0"/>
        <w:kinsoku w:val="0"/>
        <w:autoSpaceDE w:val="0"/>
        <w:autoSpaceDN w:val="0"/>
        <w:adjustRightInd w:val="0"/>
        <w:snapToGrid w:val="0"/>
        <w:spacing w:before="0" w:beforeAutospacing="0" w:after="0" w:afterAutospacing="0" w:line="420" w:lineRule="exact"/>
        <w:ind w:left="0" w:leftChars="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承包人承担前述违约责任并不免除或减轻承包人继续完成工程及修补缺陷的义务。即出现上述情形，承包人除支付逾期竣工违约金外，还需向发包人提交工期补救方案，方案经监理人及发包人批准后方可实施，且补救费用由承包人承担。</w:t>
      </w:r>
    </w:p>
    <w:p w14:paraId="4BB4FBED">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spacing w:val="0"/>
          <w:kern w:val="0"/>
          <w:sz w:val="24"/>
          <w:szCs w:val="24"/>
        </w:rPr>
      </w:pPr>
      <w:r>
        <w:rPr>
          <w:rFonts w:hint="eastAsia" w:ascii="黑体" w:hAnsi="宋体" w:eastAsia="黑体" w:cs="黑体"/>
          <w:snapToGrid/>
          <w:color w:val="000000"/>
          <w:spacing w:val="0"/>
          <w:kern w:val="0"/>
          <w:sz w:val="24"/>
          <w:szCs w:val="24"/>
          <w:lang w:val="en-US" w:eastAsia="zh-CN" w:bidi="ar"/>
        </w:rPr>
        <w:t>11.6 工期提前</w:t>
      </w:r>
    </w:p>
    <w:p w14:paraId="0A8DD45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发包人不得随意要求承包人提前竣（交）工，承包人也不得随意提出提前竣（交）工的建议。如遇特殊情况，确需将工期提前的，发包人和承包人必须采取有效措施，</w:t>
      </w:r>
      <w:r>
        <w:rPr>
          <w:rFonts w:hint="eastAsia" w:ascii="宋体" w:hAnsi="宋体" w:eastAsia="宋体" w:cs="宋体"/>
          <w:snapToGrid/>
          <w:color w:val="000000"/>
          <w:kern w:val="0"/>
          <w:sz w:val="24"/>
          <w:szCs w:val="24"/>
          <w:lang w:val="en-US" w:eastAsia="zh-CN" w:bidi="ar"/>
        </w:rPr>
        <w:t>确保工程质量，相关费用已包含着综合单价</w:t>
      </w:r>
      <w:r>
        <w:rPr>
          <w:rFonts w:hint="eastAsia" w:ascii="宋体" w:hAnsi="宋体" w:eastAsia="宋体" w:cs="宋体"/>
          <w:snapToGrid/>
          <w:color w:val="000000"/>
          <w:spacing w:val="0"/>
          <w:kern w:val="0"/>
          <w:sz w:val="24"/>
          <w:szCs w:val="24"/>
          <w:lang w:val="en-US" w:eastAsia="zh-CN" w:bidi="ar"/>
        </w:rPr>
        <w:t>中，合同金额不予增加。</w:t>
      </w:r>
    </w:p>
    <w:p w14:paraId="1EC4B4C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13.工程质量</w:t>
      </w:r>
    </w:p>
    <w:p w14:paraId="2CF747D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b w:val="0"/>
          <w:bCs w:val="0"/>
          <w:kern w:val="0"/>
          <w:sz w:val="24"/>
          <w:szCs w:val="24"/>
        </w:rPr>
      </w:pPr>
      <w:r>
        <w:rPr>
          <w:rFonts w:hint="eastAsia" w:ascii="宋体" w:hAnsi="宋体" w:eastAsia="宋体" w:cs="宋体"/>
          <w:b w:val="0"/>
          <w:bCs w:val="0"/>
          <w:snapToGrid/>
          <w:color w:val="000000"/>
          <w:kern w:val="0"/>
          <w:sz w:val="24"/>
          <w:szCs w:val="24"/>
          <w:lang w:val="en-US" w:eastAsia="zh-CN" w:bidi="ar"/>
        </w:rPr>
        <w:t xml:space="preserve">13.1.1 </w:t>
      </w:r>
      <w:r>
        <w:rPr>
          <w:rFonts w:hint="eastAsia" w:ascii="宋体" w:hAnsi="宋体" w:eastAsia="宋体" w:cs="宋体"/>
          <w:snapToGrid/>
          <w:color w:val="000000"/>
          <w:kern w:val="0"/>
          <w:sz w:val="24"/>
          <w:szCs w:val="24"/>
          <w:lang w:val="en-US" w:eastAsia="zh-CN" w:bidi="ar"/>
        </w:rPr>
        <w:t>承包人</w:t>
      </w:r>
      <w:r>
        <w:rPr>
          <w:rFonts w:hint="eastAsia" w:ascii="宋体" w:hAnsi="宋体" w:eastAsia="宋体" w:cs="宋体"/>
          <w:b w:val="0"/>
          <w:bCs w:val="0"/>
          <w:snapToGrid/>
          <w:color w:val="000000"/>
          <w:kern w:val="0"/>
          <w:sz w:val="24"/>
          <w:szCs w:val="24"/>
          <w:lang w:val="en-US" w:eastAsia="zh-CN" w:bidi="ar"/>
        </w:rPr>
        <w:t>必须按国家颁布的有关国家标准及规范(GBJl47—990、GBJl48—90、GB50171—91、电力建设施工技术管理制度)进行施工。发包人代表、监理工程师有随时检查、监督施工过程的权利。</w:t>
      </w:r>
    </w:p>
    <w:p w14:paraId="0B9C6818">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b w:val="0"/>
          <w:bCs w:val="0"/>
          <w:kern w:val="0"/>
          <w:sz w:val="24"/>
          <w:szCs w:val="24"/>
        </w:rPr>
      </w:pPr>
      <w:r>
        <w:rPr>
          <w:rFonts w:hint="eastAsia" w:ascii="宋体" w:hAnsi="宋体" w:eastAsia="宋体" w:cs="宋体"/>
          <w:b w:val="0"/>
          <w:bCs w:val="0"/>
          <w:snapToGrid/>
          <w:color w:val="000000"/>
          <w:kern w:val="0"/>
          <w:sz w:val="24"/>
          <w:szCs w:val="24"/>
          <w:lang w:val="en-US" w:eastAsia="zh-CN" w:bidi="ar"/>
        </w:rPr>
        <w:t xml:space="preserve">13.1.2 </w:t>
      </w:r>
      <w:r>
        <w:rPr>
          <w:rFonts w:hint="default" w:ascii="Arial" w:hAnsi="Arial" w:eastAsia="宋体" w:cs="Arial"/>
          <w:b w:val="0"/>
          <w:bCs w:val="0"/>
          <w:snapToGrid/>
          <w:color w:val="000000"/>
          <w:kern w:val="0"/>
          <w:sz w:val="24"/>
          <w:szCs w:val="24"/>
          <w:lang w:val="en-US" w:eastAsia="zh-CN" w:bidi="ar"/>
        </w:rPr>
        <w:t>承包人</w:t>
      </w:r>
      <w:r>
        <w:rPr>
          <w:rFonts w:hint="eastAsia" w:ascii="宋体" w:hAnsi="宋体" w:eastAsia="宋体" w:cs="宋体"/>
          <w:b w:val="0"/>
          <w:bCs w:val="0"/>
          <w:snapToGrid/>
          <w:color w:val="000000"/>
          <w:kern w:val="0"/>
          <w:sz w:val="24"/>
          <w:szCs w:val="24"/>
          <w:lang w:val="en-US" w:eastAsia="zh-CN" w:bidi="ar"/>
        </w:rPr>
        <w:t>必须按照设计、施工方案和国家相关规范要求施工，如设计、施工方案的确有误，</w:t>
      </w:r>
      <w:r>
        <w:rPr>
          <w:rFonts w:hint="default" w:ascii="Arial" w:hAnsi="Arial" w:eastAsia="宋体" w:cs="Arial"/>
          <w:b w:val="0"/>
          <w:bCs w:val="0"/>
          <w:snapToGrid/>
          <w:color w:val="000000"/>
          <w:kern w:val="0"/>
          <w:sz w:val="24"/>
          <w:szCs w:val="24"/>
          <w:lang w:val="en-US" w:eastAsia="zh-CN" w:bidi="ar"/>
        </w:rPr>
        <w:t>承包人</w:t>
      </w:r>
      <w:r>
        <w:rPr>
          <w:rFonts w:hint="eastAsia" w:ascii="宋体" w:hAnsi="宋体" w:eastAsia="宋体" w:cs="宋体"/>
          <w:b w:val="0"/>
          <w:bCs w:val="0"/>
          <w:snapToGrid/>
          <w:color w:val="000000"/>
          <w:kern w:val="0"/>
          <w:sz w:val="24"/>
          <w:szCs w:val="24"/>
          <w:lang w:val="en-US" w:eastAsia="zh-CN" w:bidi="ar"/>
        </w:rPr>
        <w:t>应及时告知</w:t>
      </w:r>
      <w:r>
        <w:rPr>
          <w:rFonts w:hint="default" w:ascii="Arial" w:hAnsi="Arial" w:eastAsia="宋体" w:cs="Arial"/>
          <w:b w:val="0"/>
          <w:bCs w:val="0"/>
          <w:snapToGrid/>
          <w:color w:val="000000"/>
          <w:kern w:val="0"/>
          <w:sz w:val="24"/>
          <w:szCs w:val="24"/>
          <w:lang w:val="en-US" w:eastAsia="zh-CN" w:bidi="ar"/>
        </w:rPr>
        <w:t>发包人</w:t>
      </w:r>
      <w:r>
        <w:rPr>
          <w:rFonts w:hint="eastAsia" w:ascii="宋体" w:hAnsi="宋体" w:eastAsia="宋体" w:cs="宋体"/>
          <w:b w:val="0"/>
          <w:bCs w:val="0"/>
          <w:snapToGrid/>
          <w:color w:val="000000"/>
          <w:kern w:val="0"/>
          <w:sz w:val="24"/>
          <w:szCs w:val="24"/>
          <w:lang w:val="en-US" w:eastAsia="zh-CN" w:bidi="ar"/>
        </w:rPr>
        <w:t>及监理方，</w:t>
      </w:r>
      <w:r>
        <w:rPr>
          <w:rFonts w:hint="default" w:ascii="Arial" w:hAnsi="Arial" w:eastAsia="宋体" w:cs="Arial"/>
          <w:b w:val="0"/>
          <w:bCs w:val="0"/>
          <w:snapToGrid/>
          <w:color w:val="000000"/>
          <w:kern w:val="0"/>
          <w:sz w:val="24"/>
          <w:szCs w:val="24"/>
          <w:lang w:val="en-US" w:eastAsia="zh-CN" w:bidi="ar"/>
        </w:rPr>
        <w:t>发包人</w:t>
      </w:r>
      <w:r>
        <w:rPr>
          <w:rFonts w:hint="eastAsia" w:ascii="宋体" w:hAnsi="宋体" w:eastAsia="宋体" w:cs="宋体"/>
          <w:b w:val="0"/>
          <w:bCs w:val="0"/>
          <w:snapToGrid/>
          <w:color w:val="000000"/>
          <w:kern w:val="0"/>
          <w:sz w:val="24"/>
          <w:szCs w:val="24"/>
          <w:lang w:val="en-US" w:eastAsia="zh-CN" w:bidi="ar"/>
        </w:rPr>
        <w:t>及监理方接到通知应及时与</w:t>
      </w:r>
      <w:r>
        <w:rPr>
          <w:rFonts w:hint="default" w:ascii="Arial" w:hAnsi="Arial" w:eastAsia="宋体" w:cs="Arial"/>
          <w:b w:val="0"/>
          <w:bCs w:val="0"/>
          <w:snapToGrid/>
          <w:color w:val="000000"/>
          <w:kern w:val="0"/>
          <w:sz w:val="24"/>
          <w:szCs w:val="24"/>
          <w:lang w:val="en-US" w:eastAsia="zh-CN" w:bidi="ar"/>
        </w:rPr>
        <w:t>承包人</w:t>
      </w:r>
      <w:r>
        <w:rPr>
          <w:rFonts w:hint="eastAsia" w:ascii="宋体" w:hAnsi="宋体" w:eastAsia="宋体" w:cs="宋体"/>
          <w:b w:val="0"/>
          <w:bCs w:val="0"/>
          <w:snapToGrid/>
          <w:color w:val="000000"/>
          <w:kern w:val="0"/>
          <w:sz w:val="24"/>
          <w:szCs w:val="24"/>
          <w:lang w:val="en-US" w:eastAsia="zh-CN" w:bidi="ar"/>
        </w:rPr>
        <w:t>协商妥善处理，若因</w:t>
      </w:r>
      <w:r>
        <w:rPr>
          <w:rFonts w:hint="default" w:ascii="Arial" w:hAnsi="Arial" w:eastAsia="宋体" w:cs="Arial"/>
          <w:b w:val="0"/>
          <w:bCs w:val="0"/>
          <w:snapToGrid/>
          <w:color w:val="000000"/>
          <w:kern w:val="0"/>
          <w:sz w:val="24"/>
          <w:szCs w:val="24"/>
          <w:lang w:val="en-US" w:eastAsia="zh-CN" w:bidi="ar"/>
        </w:rPr>
        <w:t>承包人</w:t>
      </w:r>
      <w:r>
        <w:rPr>
          <w:rFonts w:hint="eastAsia" w:ascii="宋体" w:hAnsi="宋体" w:eastAsia="宋体" w:cs="宋体"/>
          <w:b w:val="0"/>
          <w:bCs w:val="0"/>
          <w:snapToGrid/>
          <w:color w:val="000000"/>
          <w:kern w:val="0"/>
          <w:sz w:val="24"/>
          <w:szCs w:val="24"/>
          <w:lang w:val="en-US" w:eastAsia="zh-CN" w:bidi="ar"/>
        </w:rPr>
        <w:t>原因引起的返工，增加返工费用和延误的工期，责任及费用由</w:t>
      </w:r>
      <w:r>
        <w:rPr>
          <w:rFonts w:hint="default" w:ascii="Arial" w:hAnsi="Arial" w:eastAsia="宋体" w:cs="Arial"/>
          <w:b w:val="0"/>
          <w:bCs w:val="0"/>
          <w:snapToGrid/>
          <w:color w:val="000000"/>
          <w:kern w:val="0"/>
          <w:sz w:val="24"/>
          <w:szCs w:val="24"/>
          <w:lang w:val="en-US" w:eastAsia="zh-CN" w:bidi="ar"/>
        </w:rPr>
        <w:t>承包人</w:t>
      </w:r>
      <w:r>
        <w:rPr>
          <w:rFonts w:hint="eastAsia" w:ascii="宋体" w:hAnsi="宋体" w:eastAsia="宋体" w:cs="宋体"/>
          <w:b w:val="0"/>
          <w:bCs w:val="0"/>
          <w:snapToGrid/>
          <w:color w:val="000000"/>
          <w:kern w:val="0"/>
          <w:sz w:val="24"/>
          <w:szCs w:val="24"/>
          <w:lang w:val="en-US" w:eastAsia="zh-CN" w:bidi="ar"/>
        </w:rPr>
        <w:t>自行承担；</w:t>
      </w:r>
      <w:r>
        <w:rPr>
          <w:rFonts w:hint="default" w:ascii="Arial" w:hAnsi="Arial" w:eastAsia="宋体" w:cs="Arial"/>
          <w:b w:val="0"/>
          <w:bCs w:val="0"/>
          <w:snapToGrid/>
          <w:color w:val="000000"/>
          <w:kern w:val="0"/>
          <w:sz w:val="24"/>
          <w:szCs w:val="24"/>
          <w:lang w:val="en-US" w:eastAsia="zh-CN" w:bidi="ar"/>
        </w:rPr>
        <w:t>承包人</w:t>
      </w:r>
      <w:r>
        <w:rPr>
          <w:rFonts w:hint="eastAsia" w:ascii="宋体" w:hAnsi="宋体" w:eastAsia="宋体" w:cs="宋体"/>
          <w:b w:val="0"/>
          <w:bCs w:val="0"/>
          <w:snapToGrid/>
          <w:color w:val="000000"/>
          <w:kern w:val="0"/>
          <w:sz w:val="24"/>
          <w:szCs w:val="24"/>
          <w:lang w:val="en-US" w:eastAsia="zh-CN" w:bidi="ar"/>
        </w:rPr>
        <w:t>所有进场原材料、半成品等均应符合施工图设计及相关规范要求，并向监理报验，经甲方认可。发现施工质量达不到标准规范要求或使用不合格材料，施工单位应无条件返工、更换材料并承担由此产生的相关费用及工期延误责任。</w:t>
      </w:r>
    </w:p>
    <w:p w14:paraId="76B9B63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b w:val="0"/>
          <w:bCs w:val="0"/>
          <w:kern w:val="0"/>
          <w:sz w:val="24"/>
          <w:szCs w:val="24"/>
        </w:rPr>
      </w:pPr>
      <w:r>
        <w:rPr>
          <w:rFonts w:hint="eastAsia" w:ascii="宋体" w:hAnsi="宋体" w:eastAsia="宋体" w:cs="宋体"/>
          <w:b w:val="0"/>
          <w:bCs w:val="0"/>
          <w:snapToGrid/>
          <w:color w:val="000000"/>
          <w:kern w:val="0"/>
          <w:sz w:val="24"/>
          <w:szCs w:val="24"/>
          <w:lang w:val="en-US" w:eastAsia="zh-CN" w:bidi="ar"/>
        </w:rPr>
        <w:t>13.1.3 在施工过程中，上道工序完工后，</w:t>
      </w:r>
      <w:r>
        <w:rPr>
          <w:rFonts w:hint="default" w:ascii="Arial" w:hAnsi="Arial" w:eastAsia="宋体" w:cs="Arial"/>
          <w:b w:val="0"/>
          <w:bCs w:val="0"/>
          <w:snapToGrid/>
          <w:color w:val="000000"/>
          <w:kern w:val="0"/>
          <w:sz w:val="24"/>
          <w:szCs w:val="24"/>
          <w:lang w:val="en-US" w:eastAsia="zh-CN" w:bidi="ar"/>
        </w:rPr>
        <w:t>发包人</w:t>
      </w:r>
      <w:r>
        <w:rPr>
          <w:rFonts w:hint="eastAsia" w:ascii="宋体" w:hAnsi="宋体" w:eastAsia="宋体" w:cs="宋体"/>
          <w:b w:val="0"/>
          <w:bCs w:val="0"/>
          <w:snapToGrid/>
          <w:color w:val="000000"/>
          <w:kern w:val="0"/>
          <w:sz w:val="24"/>
          <w:szCs w:val="24"/>
          <w:lang w:val="en-US" w:eastAsia="zh-CN" w:bidi="ar"/>
        </w:rPr>
        <w:t>应完成自检，并由监理及</w:t>
      </w:r>
      <w:r>
        <w:rPr>
          <w:rFonts w:hint="default" w:ascii="Arial" w:hAnsi="Arial" w:eastAsia="宋体" w:cs="Arial"/>
          <w:b w:val="0"/>
          <w:bCs w:val="0"/>
          <w:snapToGrid/>
          <w:color w:val="000000"/>
          <w:kern w:val="0"/>
          <w:sz w:val="24"/>
          <w:szCs w:val="24"/>
          <w:lang w:val="en-US" w:eastAsia="zh-CN" w:bidi="ar"/>
        </w:rPr>
        <w:t>发包人</w:t>
      </w:r>
      <w:r>
        <w:rPr>
          <w:rFonts w:hint="eastAsia" w:ascii="宋体" w:hAnsi="宋体" w:eastAsia="宋体" w:cs="宋体"/>
          <w:b w:val="0"/>
          <w:bCs w:val="0"/>
          <w:snapToGrid/>
          <w:color w:val="000000"/>
          <w:kern w:val="0"/>
          <w:sz w:val="24"/>
          <w:szCs w:val="24"/>
          <w:lang w:val="en-US" w:eastAsia="zh-CN" w:bidi="ar"/>
        </w:rPr>
        <w:t>现场代表认可，方能进行下道工序施工。隐蔽工程应做同步隐蔽资料并经各相关方签字认可。中间和竣工验收按施工验收规范进行。</w:t>
      </w:r>
    </w:p>
    <w:p w14:paraId="497067F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default" w:ascii="Arial" w:hAnsi="Arial" w:cs="Arial"/>
          <w:kern w:val="0"/>
          <w:sz w:val="24"/>
          <w:szCs w:val="24"/>
        </w:rPr>
      </w:pPr>
      <w:r>
        <w:rPr>
          <w:rFonts w:hint="eastAsia" w:ascii="宋体" w:hAnsi="宋体" w:eastAsia="宋体" w:cs="宋体"/>
          <w:b w:val="0"/>
          <w:bCs w:val="0"/>
          <w:snapToGrid/>
          <w:color w:val="000000"/>
          <w:kern w:val="0"/>
          <w:sz w:val="24"/>
          <w:szCs w:val="24"/>
          <w:lang w:val="en-US" w:eastAsia="zh-CN" w:bidi="ar"/>
        </w:rPr>
        <w:t>13.1.4 工程竣工验收时，</w:t>
      </w:r>
      <w:r>
        <w:rPr>
          <w:rFonts w:hint="default" w:ascii="Arial" w:hAnsi="Arial" w:eastAsia="宋体" w:cs="Arial"/>
          <w:b w:val="0"/>
          <w:bCs w:val="0"/>
          <w:snapToGrid/>
          <w:color w:val="000000"/>
          <w:kern w:val="0"/>
          <w:sz w:val="24"/>
          <w:szCs w:val="24"/>
          <w:lang w:val="en-US" w:eastAsia="zh-CN" w:bidi="ar"/>
        </w:rPr>
        <w:t>承包人</w:t>
      </w:r>
      <w:r>
        <w:rPr>
          <w:rFonts w:hint="eastAsia" w:ascii="宋体" w:hAnsi="宋体" w:eastAsia="宋体" w:cs="宋体"/>
          <w:b w:val="0"/>
          <w:bCs w:val="0"/>
          <w:snapToGrid/>
          <w:color w:val="000000"/>
          <w:kern w:val="0"/>
          <w:sz w:val="24"/>
          <w:szCs w:val="24"/>
          <w:lang w:val="en-US" w:eastAsia="zh-CN" w:bidi="ar"/>
        </w:rPr>
        <w:t>应提前3日通知</w:t>
      </w:r>
      <w:r>
        <w:rPr>
          <w:rFonts w:hint="default" w:ascii="Arial" w:hAnsi="Arial" w:eastAsia="宋体" w:cs="Arial"/>
          <w:b w:val="0"/>
          <w:bCs w:val="0"/>
          <w:snapToGrid/>
          <w:color w:val="000000"/>
          <w:kern w:val="0"/>
          <w:sz w:val="24"/>
          <w:szCs w:val="24"/>
          <w:lang w:val="en-US" w:eastAsia="zh-CN" w:bidi="ar"/>
        </w:rPr>
        <w:t>发包人</w:t>
      </w:r>
      <w:r>
        <w:rPr>
          <w:rFonts w:hint="eastAsia" w:ascii="宋体" w:hAnsi="宋体" w:eastAsia="宋体" w:cs="宋体"/>
          <w:b w:val="0"/>
          <w:bCs w:val="0"/>
          <w:snapToGrid/>
          <w:color w:val="000000"/>
          <w:kern w:val="0"/>
          <w:sz w:val="24"/>
          <w:szCs w:val="24"/>
          <w:lang w:val="en-US" w:eastAsia="zh-CN" w:bidi="ar"/>
        </w:rPr>
        <w:t>，并提供完整的竣工验收资料。</w:t>
      </w:r>
    </w:p>
    <w:p w14:paraId="0F6F984F">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13.4 监理人的质量检查</w:t>
      </w:r>
    </w:p>
    <w:p w14:paraId="5A555246">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13.4.1 质量与检验</w:t>
      </w:r>
    </w:p>
    <w:p w14:paraId="3408F92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（1）承包人及其分包人随时接受发包人、监理人、行政主管部门、质量管理部</w:t>
      </w:r>
      <w:r>
        <w:rPr>
          <w:rFonts w:hint="eastAsia" w:ascii="宋体" w:hAnsi="宋体" w:eastAsia="宋体" w:cs="宋体"/>
          <w:snapToGrid/>
          <w:color w:val="000000"/>
          <w:spacing w:val="0"/>
          <w:kern w:val="0"/>
          <w:sz w:val="24"/>
          <w:szCs w:val="24"/>
          <w:lang w:val="en-US" w:eastAsia="zh-CN" w:bidi="ar"/>
        </w:rPr>
        <w:t>门、安全管理部门、行业质量安全检查人员或发包人委派的第三方质量检查单位所进行的安全质量的监督和检查。承包人为此类监督、检查提供方便。</w:t>
      </w:r>
    </w:p>
    <w:p w14:paraId="1C19F41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（2）发包人委托第三方对施工质量进行检查、检验、检测和试验时，以书面形</w:t>
      </w:r>
      <w:r>
        <w:rPr>
          <w:rFonts w:hint="eastAsia" w:ascii="宋体" w:hAnsi="宋体" w:eastAsia="宋体" w:cs="宋体"/>
          <w:snapToGrid/>
          <w:color w:val="000000"/>
          <w:spacing w:val="0"/>
          <w:kern w:val="0"/>
          <w:sz w:val="24"/>
          <w:szCs w:val="24"/>
          <w:lang w:val="en-US" w:eastAsia="zh-CN" w:bidi="ar"/>
        </w:rPr>
        <w:t>式通知承包人。经发包人确认的第三方的验收结果视为发包人的验收结果。</w:t>
      </w:r>
    </w:p>
    <w:p w14:paraId="1E5D4F1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（3）承包人遵守施工质量管理的有关规定，负有对其操作人员进行培训、考核、图纸交底、技术交底、操作规程交底、安全程序交底和质量标准交底，及消除事故隐患的责任。</w:t>
      </w:r>
    </w:p>
    <w:p w14:paraId="631EE5DC">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4）承包人按照设计文件、施工标准的规定和合同约定，对永久性工程的设备、材料、部件（包括建筑构配件）进行检查、检验、检测和试验，不合格的不得使用。有义务自费修复和更换不合格的设备、材料、部件，因此造成竣工日期延误的，由承包人负责。</w:t>
      </w:r>
    </w:p>
    <w:p w14:paraId="7FA13B3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（5）承包人的施工符合国家规定的及合同约定</w:t>
      </w:r>
      <w:r>
        <w:rPr>
          <w:rFonts w:hint="eastAsia" w:ascii="宋体" w:hAnsi="宋体" w:eastAsia="宋体" w:cs="宋体"/>
          <w:snapToGrid/>
          <w:color w:val="000000"/>
          <w:spacing w:val="0"/>
          <w:kern w:val="0"/>
          <w:sz w:val="24"/>
          <w:szCs w:val="24"/>
          <w:lang w:val="en-US" w:eastAsia="zh-CN" w:bidi="ar"/>
        </w:rPr>
        <w:t>的质量标准。质量标准的评定，以合同中约定的质量检验评定标准为依据。对不符合质量标准的施工部位，承包人有义务自费修复、返工或更换或重置，因此造成的工期延误和（或）费用增加由承包人负责。</w:t>
      </w:r>
    </w:p>
    <w:p w14:paraId="17529D6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13.4.2 质检部位与参检方。质检部位分为：发包人、监理</w:t>
      </w:r>
      <w:r>
        <w:rPr>
          <w:rFonts w:hint="eastAsia" w:ascii="宋体" w:hAnsi="宋体" w:eastAsia="宋体" w:cs="宋体"/>
          <w:snapToGrid/>
          <w:color w:val="000000"/>
          <w:kern w:val="0"/>
          <w:sz w:val="24"/>
          <w:szCs w:val="24"/>
          <w:lang w:val="en-US" w:eastAsia="zh-CN" w:bidi="ar"/>
        </w:rPr>
        <w:t>人与承包人三方参检</w:t>
      </w:r>
      <w:r>
        <w:rPr>
          <w:rFonts w:hint="eastAsia" w:ascii="宋体" w:hAnsi="宋体" w:eastAsia="宋体" w:cs="宋体"/>
          <w:snapToGrid/>
          <w:color w:val="000000"/>
          <w:spacing w:val="0"/>
          <w:kern w:val="0"/>
          <w:sz w:val="24"/>
          <w:szCs w:val="24"/>
          <w:lang w:val="en-US" w:eastAsia="zh-CN" w:bidi="ar"/>
        </w:rPr>
        <w:t>的部位；监理人与承包人两方参检的部位；第三方或承包人一方参检的部位。经承包人一方检查合格的部位，报发包人或监理人备案。发包人和监理人有权随时对备案的部位进行抽查或全面检查。</w:t>
      </w:r>
    </w:p>
    <w:p w14:paraId="5191F85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13.4.3 通知参检方的参检。承包人自行检查、检验、检测</w:t>
      </w:r>
      <w:r>
        <w:rPr>
          <w:rFonts w:hint="eastAsia" w:ascii="宋体" w:hAnsi="宋体" w:eastAsia="宋体" w:cs="宋体"/>
          <w:snapToGrid/>
          <w:color w:val="000000"/>
          <w:kern w:val="0"/>
          <w:sz w:val="24"/>
          <w:szCs w:val="24"/>
          <w:lang w:val="en-US" w:eastAsia="zh-CN" w:bidi="ar"/>
        </w:rPr>
        <w:t>和试验合格的，通知</w:t>
      </w:r>
      <w:r>
        <w:rPr>
          <w:rFonts w:hint="eastAsia" w:ascii="宋体" w:hAnsi="宋体" w:eastAsia="宋体" w:cs="宋体"/>
          <w:snapToGrid/>
          <w:color w:val="000000"/>
          <w:spacing w:val="0"/>
          <w:kern w:val="0"/>
          <w:sz w:val="24"/>
          <w:szCs w:val="24"/>
          <w:lang w:val="en-US" w:eastAsia="zh-CN" w:bidi="ar"/>
        </w:rPr>
        <w:t>相关参检单位参加检查。参检方未能按时参加的，承包人将自检合格的结果于其后的</w:t>
      </w:r>
      <w:r>
        <w:rPr>
          <w:rFonts w:hint="default" w:ascii="Arial" w:hAnsi="Arial" w:eastAsia="宋体" w:cs="Arial"/>
          <w:snapToGrid/>
          <w:color w:val="000000"/>
          <w:kern w:val="0"/>
          <w:sz w:val="21"/>
          <w:szCs w:val="21"/>
          <w:lang w:val="en-US" w:eastAsia="zh-CN" w:bidi="ar"/>
        </w:rPr>
        <w:drawing>
          <wp:inline distT="0" distB="0" distL="114300" distR="114300">
            <wp:extent cx="28575" cy="28575"/>
            <wp:effectExtent l="0" t="0" r="9525" b="9525"/>
            <wp:docPr id="10" name="图片 7"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IMG_257"/>
                    <pic:cNvPicPr>
                      <a:picLocks noChangeAspect="1"/>
                    </pic:cNvPicPr>
                  </pic:nvPicPr>
                  <pic:blipFill>
                    <a:blip r:embed="rId11"/>
                    <a:stretch>
                      <a:fillRect/>
                    </a:stretch>
                  </pic:blipFill>
                  <pic:spPr>
                    <a:xfrm>
                      <a:off x="0" y="0"/>
                      <a:ext cx="28575" cy="28575"/>
                    </a:xfrm>
                    <a:prstGeom prst="rect">
                      <a:avLst/>
                    </a:prstGeom>
                    <a:noFill/>
                    <a:ln w="9525">
                      <a:noFill/>
                    </a:ln>
                  </pic:spPr>
                </pic:pic>
              </a:graphicData>
            </a:graphic>
          </wp:inline>
        </w:drawing>
      </w:r>
      <w:r>
        <w:rPr>
          <w:rFonts w:hint="eastAsia" w:ascii="宋体" w:hAnsi="宋体" w:eastAsia="宋体" w:cs="宋体"/>
          <w:snapToGrid/>
          <w:color w:val="000000"/>
          <w:spacing w:val="0"/>
          <w:kern w:val="0"/>
          <w:sz w:val="24"/>
          <w:szCs w:val="24"/>
          <w:lang w:val="en-US" w:eastAsia="zh-CN" w:bidi="ar"/>
        </w:rPr>
        <w:t>24小时内送交发包人或（和）监理人签字，发包人或（和）监理人收到自检合格</w:t>
      </w:r>
      <w:r>
        <w:rPr>
          <w:rFonts w:hint="eastAsia" w:ascii="宋体" w:hAnsi="宋体" w:eastAsia="宋体" w:cs="宋体"/>
          <w:snapToGrid/>
          <w:color w:val="000000"/>
          <w:kern w:val="0"/>
          <w:sz w:val="24"/>
          <w:szCs w:val="24"/>
          <w:lang w:val="en-US" w:eastAsia="zh-CN" w:bidi="ar"/>
        </w:rPr>
        <w:t>结</w:t>
      </w:r>
      <w:r>
        <w:rPr>
          <w:rFonts w:hint="eastAsia" w:ascii="宋体" w:hAnsi="宋体" w:eastAsia="宋体" w:cs="宋体"/>
          <w:snapToGrid/>
          <w:color w:val="000000"/>
          <w:spacing w:val="0"/>
          <w:kern w:val="0"/>
          <w:sz w:val="24"/>
          <w:szCs w:val="24"/>
          <w:lang w:val="en-US" w:eastAsia="zh-CN" w:bidi="ar"/>
        </w:rPr>
        <w:t>果后72小时后未能签字且未提出书面异议的，视为质检结果已被发包人认可。此后3日内，承包人发出视为发包人或（和）监理人已确认该质检结果的通知。</w:t>
      </w:r>
    </w:p>
    <w:p w14:paraId="1C643A5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13.4.4 质量检查的权利。发包人及其授权的监理人或第三</w:t>
      </w:r>
      <w:r>
        <w:rPr>
          <w:rFonts w:hint="eastAsia" w:ascii="宋体" w:hAnsi="宋体" w:eastAsia="宋体" w:cs="宋体"/>
          <w:snapToGrid/>
          <w:color w:val="000000"/>
          <w:kern w:val="0"/>
          <w:sz w:val="24"/>
          <w:szCs w:val="24"/>
          <w:lang w:val="en-US" w:eastAsia="zh-CN" w:bidi="ar"/>
        </w:rPr>
        <w:t>方，在不妨碍承包 人</w:t>
      </w:r>
      <w:r>
        <w:rPr>
          <w:rFonts w:hint="eastAsia" w:ascii="宋体" w:hAnsi="宋体" w:eastAsia="宋体" w:cs="宋体"/>
          <w:snapToGrid/>
          <w:color w:val="000000"/>
          <w:spacing w:val="0"/>
          <w:kern w:val="0"/>
          <w:sz w:val="24"/>
          <w:szCs w:val="24"/>
          <w:lang w:val="en-US" w:eastAsia="zh-CN" w:bidi="ar"/>
        </w:rPr>
        <w:t>正常作业的情况下，具有对任何施工区域进行质量监督、检查、检验、检测和试验的权利。承包人为此类质量检查活动提供便利。</w:t>
      </w:r>
    </w:p>
    <w:p w14:paraId="74EB852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经质检发现因承包人原因引起的质量缺陷，有权下达修复、暂停、拆除、返工、</w:t>
      </w:r>
      <w:r>
        <w:rPr>
          <w:rFonts w:hint="eastAsia" w:ascii="宋体" w:hAnsi="宋体" w:eastAsia="宋体" w:cs="宋体"/>
          <w:snapToGrid/>
          <w:color w:val="000000"/>
          <w:kern w:val="0"/>
          <w:sz w:val="24"/>
          <w:szCs w:val="24"/>
          <w:lang w:val="en-US" w:eastAsia="zh-CN" w:bidi="ar"/>
        </w:rPr>
        <w:t>重新施工、更换等指令。由此增加的费用由</w:t>
      </w:r>
      <w:r>
        <w:rPr>
          <w:rFonts w:hint="eastAsia" w:ascii="宋体" w:hAnsi="宋体" w:eastAsia="宋体" w:cs="宋体"/>
          <w:snapToGrid/>
          <w:color w:val="000000"/>
          <w:spacing w:val="0"/>
          <w:kern w:val="0"/>
          <w:sz w:val="24"/>
          <w:szCs w:val="24"/>
          <w:lang w:val="en-US" w:eastAsia="zh-CN" w:bidi="ar"/>
        </w:rPr>
        <w:t>承包人承担，工期不顺延。</w:t>
      </w:r>
    </w:p>
    <w:p w14:paraId="57CBB8B6">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13.4.5 重新进行质量检查。经质量检查合格的工程部位，</w:t>
      </w:r>
      <w:r>
        <w:rPr>
          <w:rFonts w:hint="eastAsia" w:ascii="宋体" w:hAnsi="宋体" w:eastAsia="宋体" w:cs="宋体"/>
          <w:snapToGrid/>
          <w:color w:val="000000"/>
          <w:kern w:val="0"/>
          <w:sz w:val="24"/>
          <w:szCs w:val="24"/>
          <w:lang w:val="en-US" w:eastAsia="zh-CN" w:bidi="ar"/>
        </w:rPr>
        <w:t>发包人有权在不影 响</w:t>
      </w:r>
      <w:r>
        <w:rPr>
          <w:rFonts w:hint="eastAsia" w:ascii="宋体" w:hAnsi="宋体" w:eastAsia="宋体" w:cs="宋体"/>
          <w:snapToGrid/>
          <w:color w:val="000000"/>
          <w:spacing w:val="0"/>
          <w:kern w:val="0"/>
          <w:sz w:val="24"/>
          <w:szCs w:val="24"/>
          <w:lang w:val="en-US" w:eastAsia="zh-CN" w:bidi="ar"/>
        </w:rPr>
        <w:t>工程正常施工的条件下，重新进行质量检查。其检查、检验、检测、试验的结果不合格时，因此发生的费用由承包人承担，造成工程关键路径延误的，工期不予延长；其检查、检验、检测、试验的结果合格时，承包人增加的费用或（和）工期延误的损失由发包人承担。</w:t>
      </w:r>
    </w:p>
    <w:p w14:paraId="09A9BEA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13.5 工程隐蔽部位覆盖前的检查</w:t>
      </w:r>
    </w:p>
    <w:p w14:paraId="08DA755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13.5.1 通知监理人检查</w:t>
      </w:r>
    </w:p>
    <w:p w14:paraId="1DB5536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监理人对工程隐蔽部位进行检查的期限：</w:t>
      </w:r>
      <w:r>
        <w:rPr>
          <w:rFonts w:hint="eastAsia" w:ascii="宋体" w:hAnsi="宋体" w:eastAsia="宋体" w:cs="宋体"/>
          <w:snapToGrid/>
          <w:color w:val="000000"/>
          <w:kern w:val="0"/>
          <w:sz w:val="24"/>
          <w:szCs w:val="24"/>
          <w:u w:val="single"/>
          <w:lang w:val="en-US" w:eastAsia="zh-CN" w:bidi="ar"/>
        </w:rPr>
        <w:t>接到承包人书</w:t>
      </w:r>
      <w:r>
        <w:rPr>
          <w:rFonts w:hint="eastAsia" w:ascii="宋体" w:hAnsi="宋体" w:eastAsia="宋体" w:cs="宋体"/>
          <w:snapToGrid/>
          <w:color w:val="000000"/>
          <w:spacing w:val="0"/>
          <w:kern w:val="0"/>
          <w:sz w:val="24"/>
          <w:szCs w:val="24"/>
          <w:u w:val="single"/>
          <w:lang w:val="en-US" w:eastAsia="zh-CN" w:bidi="ar"/>
        </w:rPr>
        <w:t>面通知后 48 小时内</w:t>
      </w:r>
      <w:r>
        <w:rPr>
          <w:rFonts w:hint="eastAsia" w:ascii="宋体" w:hAnsi="宋体" w:eastAsia="宋体" w:cs="宋体"/>
          <w:snapToGrid/>
          <w:color w:val="000000"/>
          <w:spacing w:val="0"/>
          <w:kern w:val="0"/>
          <w:sz w:val="24"/>
          <w:szCs w:val="24"/>
          <w:lang w:val="en-US" w:eastAsia="zh-CN" w:bidi="ar"/>
        </w:rPr>
        <w:t>。</w:t>
      </w:r>
    </w:p>
    <w:p w14:paraId="1CAB434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13.7 质量争议</w:t>
      </w:r>
    </w:p>
    <w:p w14:paraId="3D42166E">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对工程质量有争议时，双方协商确定的工程质量检测机构：</w:t>
      </w:r>
      <w:r>
        <w:rPr>
          <w:rFonts w:hint="eastAsia" w:ascii="宋体" w:hAnsi="宋体" w:eastAsia="宋体" w:cs="宋体"/>
          <w:snapToGrid/>
          <w:color w:val="000000"/>
          <w:spacing w:val="0"/>
          <w:kern w:val="0"/>
          <w:sz w:val="24"/>
          <w:szCs w:val="24"/>
          <w:u w:val="single"/>
          <w:lang w:val="en-US" w:eastAsia="zh-CN" w:bidi="ar"/>
        </w:rPr>
        <w:t>发包人聘用的第三方检测机构，检测费用由承包人先行垫付，最终由对检测结果存在错误推定的一方承担</w:t>
      </w:r>
      <w:r>
        <w:rPr>
          <w:rFonts w:hint="eastAsia" w:ascii="宋体" w:hAnsi="宋体" w:eastAsia="宋体" w:cs="宋体"/>
          <w:snapToGrid/>
          <w:color w:val="000000"/>
          <w:spacing w:val="0"/>
          <w:kern w:val="0"/>
          <w:sz w:val="24"/>
          <w:szCs w:val="24"/>
          <w:lang w:val="en-US" w:eastAsia="zh-CN" w:bidi="ar"/>
        </w:rPr>
        <w:t>。</w:t>
      </w:r>
    </w:p>
    <w:p w14:paraId="11A4CBA6">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14.  试验和检验</w:t>
      </w:r>
    </w:p>
    <w:p w14:paraId="72622FDC">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14.1 试验和检验费用</w:t>
      </w:r>
    </w:p>
    <w:p w14:paraId="7572C7E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（1）承包人应负责提供合同和技术规范规定的试验和检验所需的全部样品，并承担其费用。</w:t>
      </w:r>
    </w:p>
    <w:p w14:paraId="2B2A79A8">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（2）在合同中明确规定的试验和检验，包括无须在工程量清单中单独列项和已</w:t>
      </w:r>
      <w:r>
        <w:rPr>
          <w:rFonts w:hint="eastAsia" w:ascii="宋体" w:hAnsi="宋体" w:eastAsia="宋体" w:cs="宋体"/>
          <w:snapToGrid/>
          <w:color w:val="000000"/>
          <w:spacing w:val="0"/>
          <w:kern w:val="0"/>
          <w:sz w:val="24"/>
          <w:szCs w:val="24"/>
          <w:lang w:val="en-US" w:eastAsia="zh-CN" w:bidi="ar"/>
        </w:rPr>
        <w:t xml:space="preserve"> </w:t>
      </w:r>
      <w:r>
        <w:rPr>
          <w:rFonts w:hint="eastAsia" w:ascii="宋体" w:hAnsi="宋体" w:eastAsia="宋体" w:cs="宋体"/>
          <w:snapToGrid/>
          <w:color w:val="000000"/>
          <w:kern w:val="0"/>
          <w:sz w:val="24"/>
          <w:szCs w:val="24"/>
          <w:lang w:val="en-US" w:eastAsia="zh-CN" w:bidi="ar"/>
        </w:rPr>
        <w:t>在工程量清单中单独列项的试验和检验，其试验和检验</w:t>
      </w:r>
      <w:r>
        <w:rPr>
          <w:rFonts w:hint="eastAsia" w:ascii="宋体" w:hAnsi="宋体" w:eastAsia="宋体" w:cs="宋体"/>
          <w:snapToGrid/>
          <w:color w:val="000000"/>
          <w:spacing w:val="0"/>
          <w:kern w:val="0"/>
          <w:sz w:val="24"/>
          <w:szCs w:val="24"/>
          <w:lang w:val="en-US" w:eastAsia="zh-CN" w:bidi="ar"/>
        </w:rPr>
        <w:t>的费用由承包人承担。</w:t>
      </w:r>
    </w:p>
    <w:p w14:paraId="0201AD0F">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（3）如果监理人所要求做的试验和检验为合同未规定的，则检验结束后，如表</w:t>
      </w:r>
      <w:r>
        <w:rPr>
          <w:rFonts w:hint="eastAsia" w:ascii="宋体" w:hAnsi="宋体" w:eastAsia="宋体" w:cs="宋体"/>
          <w:snapToGrid/>
          <w:color w:val="000000"/>
          <w:spacing w:val="0"/>
          <w:kern w:val="0"/>
          <w:sz w:val="24"/>
          <w:szCs w:val="24"/>
          <w:lang w:val="en-US" w:eastAsia="zh-CN" w:bidi="ar"/>
        </w:rPr>
        <w:t>明操作工艺或材料、工程设备未能符合合同规定，其费用应由承包人承担，否则，其费用应由发包人承担。</w:t>
      </w:r>
    </w:p>
    <w:p w14:paraId="0936099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i w:val="0"/>
          <w:iCs w:val="0"/>
          <w:color w:val="000000"/>
          <w:kern w:val="0"/>
          <w:sz w:val="24"/>
          <w:szCs w:val="24"/>
        </w:rPr>
      </w:pPr>
      <w:r>
        <w:rPr>
          <w:rFonts w:hint="eastAsia" w:ascii="黑体" w:hAnsi="宋体" w:eastAsia="黑体" w:cs="黑体"/>
          <w:b/>
          <w:bCs/>
          <w:i w:val="0"/>
          <w:iCs w:val="0"/>
          <w:snapToGrid/>
          <w:color w:val="000000"/>
          <w:spacing w:val="0"/>
          <w:kern w:val="0"/>
          <w:sz w:val="24"/>
          <w:szCs w:val="24"/>
          <w:lang w:val="en-US" w:eastAsia="zh-CN" w:bidi="ar"/>
        </w:rPr>
        <w:t>15.  变更</w:t>
      </w:r>
    </w:p>
    <w:p w14:paraId="5EBEACB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15.1 承包人的合理化建议</w:t>
      </w:r>
    </w:p>
    <w:p w14:paraId="31602BA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15.1.1 承包人提出的合理化建议降低工程投资、缩短工期</w:t>
      </w:r>
      <w:r>
        <w:rPr>
          <w:rFonts w:hint="eastAsia" w:ascii="宋体" w:hAnsi="宋体" w:eastAsia="宋体" w:cs="宋体"/>
          <w:snapToGrid/>
          <w:color w:val="000000"/>
          <w:kern w:val="0"/>
          <w:sz w:val="24"/>
          <w:szCs w:val="24"/>
          <w:lang w:val="en-US" w:eastAsia="zh-CN" w:bidi="ar"/>
        </w:rPr>
        <w:t>或者提高工程经济 效</w:t>
      </w:r>
      <w:r>
        <w:rPr>
          <w:rFonts w:hint="eastAsia" w:ascii="宋体" w:hAnsi="宋体" w:eastAsia="宋体" w:cs="宋体"/>
          <w:snapToGrid/>
          <w:color w:val="000000"/>
          <w:spacing w:val="0"/>
          <w:kern w:val="0"/>
          <w:sz w:val="24"/>
          <w:szCs w:val="24"/>
          <w:lang w:val="en-US" w:eastAsia="zh-CN" w:bidi="ar"/>
        </w:rPr>
        <w:t>益的奖励的方法和金额约定：</w:t>
      </w:r>
      <w:r>
        <w:rPr>
          <w:rFonts w:hint="eastAsia" w:ascii="宋体" w:hAnsi="宋体" w:eastAsia="宋体" w:cs="宋体"/>
          <w:snapToGrid/>
          <w:color w:val="000000"/>
          <w:spacing w:val="0"/>
          <w:kern w:val="0"/>
          <w:sz w:val="24"/>
          <w:szCs w:val="24"/>
          <w:u w:val="single"/>
          <w:lang w:val="en-US" w:eastAsia="zh-CN" w:bidi="ar"/>
        </w:rPr>
        <w:t>不奖励</w:t>
      </w:r>
      <w:r>
        <w:rPr>
          <w:rFonts w:hint="eastAsia" w:ascii="宋体" w:hAnsi="宋体" w:eastAsia="宋体" w:cs="宋体"/>
          <w:snapToGrid/>
          <w:color w:val="000000"/>
          <w:spacing w:val="0"/>
          <w:kern w:val="0"/>
          <w:sz w:val="24"/>
          <w:szCs w:val="24"/>
          <w:lang w:val="en-US" w:eastAsia="zh-CN" w:bidi="ar"/>
        </w:rPr>
        <w:t>。</w:t>
      </w:r>
    </w:p>
    <w:p w14:paraId="1AAB2CD8">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15.2 变更范围的界定</w:t>
      </w:r>
    </w:p>
    <w:p w14:paraId="756D2ED9">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（1）超出招标范围的变更：项目的建设规模、使用功能、设计标准的变更等。</w:t>
      </w:r>
    </w:p>
    <w:p w14:paraId="1F6C1BB1">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left"/>
        <w:textAlignment w:val="baseline"/>
        <w:rPr>
          <w:rFonts w:hint="default" w:ascii="宋体" w:hAnsi="宋体" w:cs="Arial"/>
          <w:kern w:val="0"/>
          <w:sz w:val="24"/>
          <w:szCs w:val="24"/>
        </w:rPr>
      </w:pPr>
      <w:r>
        <w:rPr>
          <w:rFonts w:hint="eastAsia" w:ascii="宋体" w:hAnsi="宋体" w:eastAsia="宋体" w:cs="宋体"/>
          <w:snapToGrid/>
          <w:color w:val="000000"/>
          <w:spacing w:val="0"/>
          <w:kern w:val="0"/>
          <w:sz w:val="24"/>
          <w:szCs w:val="24"/>
          <w:lang w:val="en-US" w:eastAsia="zh-CN" w:bidi="ar"/>
        </w:rPr>
        <w:t>（2）其他由发包人认定的施工图设计外变更。</w:t>
      </w:r>
      <w:r>
        <w:rPr>
          <w:rFonts w:hint="eastAsia" w:ascii="宋体" w:hAnsi="宋体" w:eastAsia="宋体" w:cs="宋体"/>
          <w:snapToGrid/>
          <w:color w:val="000000"/>
          <w:spacing w:val="-1"/>
          <w:kern w:val="0"/>
          <w:sz w:val="24"/>
          <w:szCs w:val="24"/>
          <w:lang w:val="en-US" w:eastAsia="zh-CN" w:bidi="ar"/>
        </w:rPr>
        <w:t>（变更程序</w:t>
      </w:r>
      <w:r>
        <w:rPr>
          <w:rFonts w:hint="eastAsia" w:ascii="宋体" w:hAnsi="宋体" w:eastAsia="宋体" w:cs="宋体"/>
          <w:snapToGrid/>
          <w:color w:val="000000"/>
          <w:kern w:val="0"/>
          <w:sz w:val="24"/>
          <w:szCs w:val="24"/>
          <w:lang w:val="en-US" w:eastAsia="zh-CN" w:bidi="ar"/>
        </w:rPr>
        <w:t>按鹤办[2021]75 号文件执行</w:t>
      </w:r>
      <w:r>
        <w:rPr>
          <w:rFonts w:hint="eastAsia" w:ascii="宋体" w:hAnsi="宋体" w:eastAsia="宋体" w:cs="宋体"/>
          <w:snapToGrid/>
          <w:color w:val="000000"/>
          <w:spacing w:val="-1"/>
          <w:kern w:val="0"/>
          <w:sz w:val="24"/>
          <w:szCs w:val="24"/>
          <w:lang w:val="en-US" w:eastAsia="zh-CN" w:bidi="ar"/>
        </w:rPr>
        <w:t>）</w:t>
      </w:r>
    </w:p>
    <w:p w14:paraId="4C61281F">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line="420" w:lineRule="exact"/>
        <w:ind w:left="0" w:right="0"/>
        <w:jc w:val="left"/>
        <w:textAlignment w:val="baseline"/>
        <w:rPr>
          <w:rFonts w:hint="eastAsia" w:ascii="黑体" w:hAnsi="宋体" w:eastAsia="黑体" w:cs="黑体"/>
          <w:color w:val="000000"/>
          <w:spacing w:val="0"/>
          <w:kern w:val="0"/>
          <w:sz w:val="24"/>
          <w:szCs w:val="24"/>
        </w:rPr>
      </w:pPr>
      <w:r>
        <w:rPr>
          <w:rFonts w:hint="eastAsia" w:ascii="宋体" w:hAnsi="宋体" w:eastAsia="宋体" w:cs="宋体"/>
          <w:snapToGrid/>
          <w:color w:val="000000"/>
          <w:spacing w:val="-1"/>
          <w:kern w:val="2"/>
          <w:sz w:val="24"/>
          <w:szCs w:val="24"/>
          <w:lang w:val="en-US" w:eastAsia="zh-CN" w:bidi="ar"/>
        </w:rPr>
        <w:t xml:space="preserve">  </w:t>
      </w:r>
      <w:r>
        <w:rPr>
          <w:rFonts w:hint="eastAsia" w:ascii="黑体" w:hAnsi="宋体" w:eastAsia="黑体" w:cs="黑体"/>
          <w:snapToGrid/>
          <w:color w:val="000000"/>
          <w:spacing w:val="-3"/>
          <w:kern w:val="0"/>
          <w:sz w:val="24"/>
          <w:szCs w:val="24"/>
          <w:lang w:val="en-US" w:eastAsia="zh-CN" w:bidi="ar"/>
        </w:rPr>
        <w:t xml:space="preserve">  </w:t>
      </w:r>
      <w:r>
        <w:rPr>
          <w:rFonts w:hint="eastAsia" w:ascii="黑体" w:hAnsi="宋体" w:eastAsia="黑体" w:cs="黑体"/>
          <w:snapToGrid/>
          <w:color w:val="000000"/>
          <w:spacing w:val="0"/>
          <w:kern w:val="0"/>
          <w:sz w:val="24"/>
          <w:szCs w:val="24"/>
          <w:lang w:val="en-US" w:eastAsia="zh-CN" w:bidi="ar"/>
        </w:rPr>
        <w:t xml:space="preserve">15.3 </w:t>
      </w:r>
      <w:r>
        <w:rPr>
          <w:rFonts w:hint="eastAsia" w:ascii="黑体" w:hAnsi="宋体" w:eastAsia="黑体" w:cs="黑体"/>
          <w:snapToGrid/>
          <w:color w:val="000000"/>
          <w:kern w:val="0"/>
          <w:sz w:val="24"/>
          <w:szCs w:val="24"/>
          <w:lang w:val="en-US" w:eastAsia="zh-CN" w:bidi="ar"/>
        </w:rPr>
        <w:t>变更估价原则</w:t>
      </w:r>
    </w:p>
    <w:p w14:paraId="260C0E0B">
      <w:pPr>
        <w:pStyle w:val="19"/>
        <w:keepNext w:val="0"/>
        <w:keepLines w:val="0"/>
        <w:widowControl/>
        <w:suppressLineNumbers w:val="0"/>
        <w:kinsoku w:val="0"/>
        <w:topLinePunct/>
        <w:autoSpaceDE w:val="0"/>
        <w:autoSpaceDN w:val="0"/>
        <w:adjustRightInd w:val="0"/>
        <w:snapToGrid w:val="0"/>
        <w:spacing w:before="0" w:beforeAutospacing="0" w:after="0" w:afterAutospacing="0" w:line="380" w:lineRule="exact"/>
        <w:ind w:left="0" w:right="0" w:firstLine="480" w:firstLineChars="200"/>
        <w:jc w:val="both"/>
        <w:textAlignment w:val="baseline"/>
        <w:rPr>
          <w:rFonts w:hint="eastAsia" w:ascii="宋体" w:hAnsi="宋体" w:eastAsia="宋体" w:cs="宋体"/>
          <w:color w:val="0000FF"/>
          <w:spacing w:val="-1"/>
          <w:kern w:val="0"/>
          <w:sz w:val="24"/>
          <w:szCs w:val="24"/>
          <w:vertAlign w:val="baseline"/>
        </w:rPr>
      </w:pPr>
      <w:r>
        <w:rPr>
          <w:rFonts w:hint="eastAsia" w:ascii="宋体" w:hAnsi="宋体" w:eastAsia="宋体" w:cs="宋体"/>
          <w:snapToGrid/>
          <w:color w:val="auto"/>
          <w:kern w:val="2"/>
          <w:sz w:val="24"/>
          <w:szCs w:val="24"/>
          <w:vertAlign w:val="baseline"/>
          <w:lang w:val="en-US" w:eastAsia="zh-CN" w:bidi="ar"/>
        </w:rPr>
        <w:t>关于变更估价的约定：</w:t>
      </w:r>
      <w:r>
        <w:rPr>
          <w:rFonts w:hint="eastAsia" w:ascii="宋体" w:hAnsi="宋体" w:eastAsia="宋体" w:cs="宋体"/>
          <w:snapToGrid/>
          <w:color w:val="000000"/>
          <w:spacing w:val="-1"/>
          <w:kern w:val="0"/>
          <w:sz w:val="24"/>
          <w:szCs w:val="24"/>
          <w:u w:val="single"/>
          <w:vertAlign w:val="baseline"/>
          <w:lang w:val="en-US" w:eastAsia="zh-CN" w:bidi="ar"/>
        </w:rPr>
        <w:t>无论合同内工程量增减，综合单价均按投标报价的中标的综合单价执行</w:t>
      </w:r>
      <w:r>
        <w:rPr>
          <w:rFonts w:hint="eastAsia" w:ascii="宋体" w:hAnsi="宋体" w:eastAsia="宋体" w:cs="宋体"/>
          <w:snapToGrid/>
          <w:color w:val="000000"/>
          <w:spacing w:val="-1"/>
          <w:kern w:val="0"/>
          <w:sz w:val="24"/>
          <w:szCs w:val="24"/>
          <w:vertAlign w:val="baseline"/>
          <w:lang w:val="en-US" w:eastAsia="zh-CN" w:bidi="ar"/>
        </w:rPr>
        <w:t>。</w:t>
      </w:r>
      <w:r>
        <w:rPr>
          <w:rFonts w:hint="eastAsia" w:ascii="宋体" w:hAnsi="宋体" w:eastAsia="宋体" w:cs="宋体"/>
          <w:snapToGrid/>
          <w:color w:val="0000FF"/>
          <w:kern w:val="2"/>
          <w:sz w:val="24"/>
          <w:szCs w:val="24"/>
          <w:vertAlign w:val="baseline"/>
          <w:lang w:val="en-US" w:eastAsia="zh-CN" w:bidi="ar"/>
        </w:rPr>
        <w:t>风险范围以外合同价格的调整方法：</w:t>
      </w:r>
      <w:r>
        <w:rPr>
          <w:rFonts w:hint="eastAsia" w:ascii="宋体" w:hAnsi="宋体" w:eastAsia="宋体" w:cs="宋体"/>
          <w:snapToGrid/>
          <w:color w:val="0000FF"/>
          <w:kern w:val="0"/>
          <w:sz w:val="24"/>
          <w:szCs w:val="24"/>
          <w:u w:val="single"/>
          <w:vertAlign w:val="baseline"/>
          <w:lang w:val="en-US" w:eastAsia="zh-CN" w:bidi="ar"/>
        </w:rPr>
        <w:t>按2020年《湖南省建设工程计价办法》、《湖南省建设工程消耗量标准》及相关文件重新组价，税率按施工同期相关部门发布的文件执行，材料价格按施工当期怀化市城乡建设事务中心发布的信息价为准，当地没有发布价时，以各相关部门询价为准，</w:t>
      </w:r>
      <w:r>
        <w:rPr>
          <w:rStyle w:val="78"/>
          <w:rFonts w:hint="eastAsia" w:ascii="宋体" w:hAnsi="宋体" w:eastAsia="宋体" w:cs="宋体"/>
          <w:b w:val="0"/>
          <w:bCs w:val="0"/>
          <w:color w:val="0000FF"/>
          <w:spacing w:val="0"/>
          <w:kern w:val="2"/>
          <w:sz w:val="24"/>
          <w:szCs w:val="24"/>
          <w:u w:val="single"/>
          <w:vertAlign w:val="baseline"/>
          <w:lang w:val="en-US" w:eastAsia="zh-CN" w:bidi="ar"/>
        </w:rPr>
        <w:t>最终以相关部门审定为准</w:t>
      </w:r>
      <w:r>
        <w:rPr>
          <w:rFonts w:hint="eastAsia" w:ascii="宋体" w:hAnsi="宋体" w:eastAsia="宋体" w:cs="宋体"/>
          <w:snapToGrid/>
          <w:color w:val="0000FF"/>
          <w:kern w:val="0"/>
          <w:sz w:val="24"/>
          <w:szCs w:val="24"/>
          <w:u w:val="single"/>
          <w:vertAlign w:val="baseline"/>
          <w:lang w:val="en-US" w:eastAsia="zh-CN" w:bidi="ar"/>
        </w:rPr>
        <w:t>。 合同外重新组价部分按招标控制价与中标总价之间下浮比例下浮</w:t>
      </w:r>
      <w:r>
        <w:rPr>
          <w:rFonts w:hint="eastAsia" w:ascii="宋体" w:hAnsi="宋体" w:eastAsia="宋体" w:cs="宋体"/>
          <w:snapToGrid/>
          <w:color w:val="0000FF"/>
          <w:kern w:val="0"/>
          <w:sz w:val="24"/>
          <w:szCs w:val="24"/>
          <w:vertAlign w:val="baseline"/>
          <w:lang w:val="en-US" w:eastAsia="zh-CN" w:bidi="ar"/>
        </w:rPr>
        <w:t>。</w:t>
      </w:r>
    </w:p>
    <w:p w14:paraId="539A41D1">
      <w:pPr>
        <w:pStyle w:val="19"/>
        <w:keepNext w:val="0"/>
        <w:keepLines w:val="0"/>
        <w:widowControl/>
        <w:suppressLineNumbers w:val="0"/>
        <w:kinsoku w:val="0"/>
        <w:topLinePunct/>
        <w:autoSpaceDE w:val="0"/>
        <w:autoSpaceDN w:val="0"/>
        <w:adjustRightInd w:val="0"/>
        <w:snapToGrid w:val="0"/>
        <w:spacing w:before="0" w:beforeAutospacing="0" w:after="0" w:afterAutospacing="0" w:line="380" w:lineRule="exact"/>
        <w:ind w:left="0" w:right="0" w:firstLine="480" w:firstLineChars="200"/>
        <w:jc w:val="both"/>
        <w:textAlignment w:val="baseline"/>
        <w:rPr>
          <w:rFonts w:hint="eastAsia" w:ascii="宋体" w:hAnsi="宋体" w:eastAsia="宋体" w:cs="宋体"/>
          <w:color w:val="0000FF"/>
          <w:spacing w:val="0"/>
          <w:sz w:val="24"/>
          <w:szCs w:val="24"/>
          <w:u w:val="single"/>
          <w:vertAlign w:val="baseline"/>
        </w:rPr>
      </w:pPr>
      <w:r>
        <w:rPr>
          <w:rStyle w:val="78"/>
          <w:rFonts w:hint="eastAsia" w:ascii="宋体" w:hAnsi="宋体" w:eastAsia="宋体" w:cs="宋体"/>
          <w:color w:val="0000FF"/>
          <w:spacing w:val="0"/>
          <w:kern w:val="2"/>
          <w:sz w:val="24"/>
          <w:szCs w:val="24"/>
          <w:u w:val="single"/>
          <w:vertAlign w:val="baseline"/>
          <w:lang w:val="en-US" w:eastAsia="zh-CN" w:bidi="ar"/>
        </w:rPr>
        <w:t>工程变更程序：按照 2021年中共怀化市鹤城区委办公室、鹤城区政府办公室印发的鹤办(2021)75号文件第六章变更程序的要求完成工程变更审批手续(如有调整按新文件执行)，未按程序办理工程变更审批的，不给予纳入进度款审核及结算审计。</w:t>
      </w:r>
    </w:p>
    <w:p w14:paraId="00B8D879">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16.  价款调整</w:t>
      </w:r>
    </w:p>
    <w:p w14:paraId="7EBF99B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市场价格波动是否调整合同价格的约定：</w:t>
      </w:r>
      <w:r>
        <w:rPr>
          <w:rFonts w:hint="eastAsia" w:ascii="宋体" w:hAnsi="宋体" w:eastAsia="宋体" w:cs="宋体"/>
          <w:snapToGrid/>
          <w:color w:val="000000"/>
          <w:kern w:val="0"/>
          <w:sz w:val="24"/>
          <w:szCs w:val="24"/>
          <w:u w:val="single"/>
          <w:lang w:val="en-US" w:eastAsia="zh-CN" w:bidi="ar"/>
        </w:rPr>
        <w:t xml:space="preserve"> </w:t>
      </w:r>
      <w:r>
        <w:rPr>
          <w:rFonts w:hint="eastAsia" w:ascii="宋体" w:hAnsi="宋体" w:eastAsia="宋体" w:cs="宋体"/>
          <w:b/>
          <w:bCs/>
          <w:snapToGrid/>
          <w:color w:val="000000"/>
          <w:kern w:val="0"/>
          <w:sz w:val="24"/>
          <w:szCs w:val="24"/>
          <w:u w:val="single"/>
          <w:lang w:val="en-US" w:eastAsia="zh-CN" w:bidi="ar"/>
        </w:rPr>
        <w:t xml:space="preserve">主要材料价格（电缆线）以施工当期怀化市城乡建设事务中心发布的信息价或市场价为依据，超出（涨跌）财评预算价格±5%以上方可进行调整，且只调整±5%以上部分 。 </w:t>
      </w:r>
      <w:r>
        <w:rPr>
          <w:rFonts w:hint="eastAsia" w:ascii="宋体" w:hAnsi="宋体" w:eastAsia="宋体" w:cs="宋体"/>
          <w:snapToGrid/>
          <w:color w:val="000000"/>
          <w:kern w:val="0"/>
          <w:sz w:val="24"/>
          <w:szCs w:val="24"/>
          <w:lang w:val="en-US" w:eastAsia="zh-CN" w:bidi="ar"/>
        </w:rPr>
        <w:t>。</w:t>
      </w:r>
    </w:p>
    <w:p w14:paraId="7DE3209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17.  计量与支付</w:t>
      </w:r>
    </w:p>
    <w:p w14:paraId="00EC19F2">
      <w:pPr>
        <w:keepNext w:val="0"/>
        <w:keepLines w:val="0"/>
        <w:widowControl/>
        <w:suppressLineNumbers w:val="0"/>
        <w:kinsoku w:val="0"/>
        <w:autoSpaceDE w:val="0"/>
        <w:autoSpaceDN w:val="0"/>
        <w:adjustRightInd w:val="0"/>
        <w:snapToGrid w:val="0"/>
        <w:spacing w:before="0" w:beforeAutospacing="0" w:after="0" w:afterAutospacing="0" w:line="400" w:lineRule="exact"/>
        <w:ind w:left="0" w:right="0" w:firstLine="480" w:firstLineChars="200"/>
        <w:jc w:val="left"/>
        <w:textAlignment w:val="baseline"/>
        <w:rPr>
          <w:rFonts w:hint="eastAsia" w:ascii="宋体" w:hAnsi="宋体" w:eastAsia="宋体" w:cs="宋体"/>
          <w:color w:val="0000FF"/>
          <w:kern w:val="0"/>
          <w:sz w:val="24"/>
          <w:szCs w:val="24"/>
        </w:rPr>
      </w:pPr>
      <w:r>
        <w:rPr>
          <w:rFonts w:hint="eastAsia" w:ascii="宋体" w:hAnsi="宋体" w:eastAsia="宋体" w:cs="宋体"/>
          <w:snapToGrid/>
          <w:color w:val="0000FF"/>
          <w:kern w:val="0"/>
          <w:sz w:val="24"/>
          <w:szCs w:val="24"/>
          <w:lang w:val="en-US" w:eastAsia="zh-CN" w:bidi="ar"/>
        </w:rPr>
        <w:t xml:space="preserve">本工程采用计价方式的约定：采用工程量清单综合单价法。 </w:t>
      </w:r>
    </w:p>
    <w:p w14:paraId="53C565F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spacing w:val="0"/>
          <w:kern w:val="0"/>
          <w:sz w:val="24"/>
          <w:szCs w:val="24"/>
        </w:rPr>
      </w:pPr>
      <w:r>
        <w:rPr>
          <w:rFonts w:hint="eastAsia" w:ascii="宋体" w:hAnsi="宋体" w:eastAsia="宋体" w:cs="宋体"/>
          <w:snapToGrid/>
          <w:color w:val="0000FF"/>
          <w:kern w:val="0"/>
          <w:sz w:val="24"/>
          <w:szCs w:val="24"/>
          <w:lang w:val="en-US" w:eastAsia="zh-CN" w:bidi="ar"/>
        </w:rPr>
        <w:t>合同价款结算的方法：工程量按实际发生为准，中标价中有综合单价的按其单价，有类似单价的按其类似单价；没有综合单价的按15.3变更的计价原则重新组价，</w:t>
      </w:r>
      <w:r>
        <w:rPr>
          <w:rStyle w:val="78"/>
          <w:rFonts w:hint="eastAsia" w:ascii="宋体" w:hAnsi="宋体" w:eastAsia="宋体" w:cs="宋体"/>
          <w:color w:val="0000FF"/>
          <w:spacing w:val="0"/>
          <w:sz w:val="24"/>
          <w:szCs w:val="24"/>
          <w:u w:val="single"/>
          <w:lang w:val="en-US" w:eastAsia="zh-CN" w:bidi="ar"/>
        </w:rPr>
        <w:t>最终结算价以</w:t>
      </w:r>
      <w:r>
        <w:rPr>
          <w:rStyle w:val="78"/>
          <w:rFonts w:hint="default" w:ascii="Arial" w:hAnsi="Arial" w:eastAsia="宋体" w:cs="Arial"/>
          <w:color w:val="0000FF"/>
          <w:spacing w:val="0"/>
          <w:kern w:val="0"/>
          <w:sz w:val="24"/>
          <w:szCs w:val="24"/>
          <w:u w:val="single"/>
          <w:lang w:val="en-US" w:eastAsia="zh-CN" w:bidi="ar"/>
        </w:rPr>
        <w:t>甲方相关部门（市、区相关最新相关文件执行）。</w:t>
      </w:r>
    </w:p>
    <w:p w14:paraId="708525E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17.1 计量</w:t>
      </w:r>
    </w:p>
    <w:p w14:paraId="477CFD7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17.1.1 计量单位</w:t>
      </w:r>
    </w:p>
    <w:p w14:paraId="3048E5D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计量采用国家法定的计量单位。</w:t>
      </w:r>
    </w:p>
    <w:p w14:paraId="17B904F9">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17.1.2 计量方法</w:t>
      </w:r>
    </w:p>
    <w:p w14:paraId="34A689C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工程量计算规则：</w:t>
      </w:r>
      <w:r>
        <w:rPr>
          <w:rFonts w:hint="eastAsia" w:ascii="宋体" w:hAnsi="宋体" w:eastAsia="宋体" w:cs="宋体"/>
          <w:snapToGrid/>
          <w:color w:val="000000"/>
          <w:kern w:val="0"/>
          <w:sz w:val="24"/>
          <w:szCs w:val="24"/>
          <w:u w:val="single"/>
          <w:lang w:val="en-US" w:eastAsia="zh-CN" w:bidi="ar"/>
        </w:rPr>
        <w:t>以相关的国家标准、行业标准等为依据</w:t>
      </w:r>
      <w:r>
        <w:rPr>
          <w:rFonts w:hint="eastAsia" w:ascii="宋体" w:hAnsi="宋体" w:eastAsia="宋体" w:cs="宋体"/>
          <w:snapToGrid/>
          <w:color w:val="000000"/>
          <w:kern w:val="0"/>
          <w:sz w:val="24"/>
          <w:szCs w:val="24"/>
          <w:lang w:val="en-US" w:eastAsia="zh-CN" w:bidi="ar"/>
        </w:rPr>
        <w:t>。</w:t>
      </w:r>
    </w:p>
    <w:p w14:paraId="7EB25056">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spacing w:val="0"/>
          <w:kern w:val="0"/>
          <w:sz w:val="24"/>
          <w:szCs w:val="24"/>
          <w:lang w:val="en-US" w:eastAsia="zh-CN" w:bidi="ar"/>
        </w:rPr>
        <w:t>17.1.3 计量周期</w:t>
      </w:r>
    </w:p>
    <w:p w14:paraId="4DD6476A">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关于计量周期的约定：</w:t>
      </w:r>
      <w:r>
        <w:rPr>
          <w:rFonts w:hint="eastAsia" w:ascii="宋体" w:hAnsi="宋体" w:eastAsia="宋体" w:cs="宋体"/>
          <w:snapToGrid/>
          <w:color w:val="000000"/>
          <w:kern w:val="0"/>
          <w:sz w:val="24"/>
          <w:szCs w:val="24"/>
          <w:u w:val="single"/>
          <w:lang w:val="en-US" w:eastAsia="zh-CN" w:bidi="ar"/>
        </w:rPr>
        <w:t>工程量的计量按月进行</w:t>
      </w:r>
      <w:r>
        <w:rPr>
          <w:rFonts w:hint="eastAsia" w:ascii="宋体" w:hAnsi="宋体" w:eastAsia="宋体" w:cs="宋体"/>
          <w:snapToGrid/>
          <w:color w:val="000000"/>
          <w:kern w:val="0"/>
          <w:sz w:val="24"/>
          <w:szCs w:val="24"/>
          <w:lang w:val="en-US" w:eastAsia="zh-CN" w:bidi="ar"/>
        </w:rPr>
        <w:t>。</w:t>
      </w:r>
    </w:p>
    <w:p w14:paraId="2F4EEF1C">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17.1.4 单价子目的计量</w:t>
      </w:r>
    </w:p>
    <w:p w14:paraId="06C9125C">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lang w:val="en-US" w:eastAsia="zh-CN" w:bidi="ar"/>
        </w:rPr>
        <w:t>（1）</w:t>
      </w:r>
      <w:r>
        <w:rPr>
          <w:rFonts w:hint="eastAsia" w:ascii="宋体" w:hAnsi="宋体" w:eastAsia="宋体" w:cs="宋体"/>
          <w:snapToGrid/>
          <w:color w:val="000000"/>
          <w:kern w:val="0"/>
          <w:sz w:val="24"/>
          <w:szCs w:val="24"/>
          <w:u w:val="single"/>
          <w:lang w:val="en-US" w:eastAsia="zh-CN" w:bidi="ar"/>
        </w:rPr>
        <w:t>承包人应于每月25日向监理人书面报送上月20日至当月19日已完成的工程量报告，并附具进度付款申请单、已完成工程量报表和有关资料</w:t>
      </w:r>
      <w:r>
        <w:rPr>
          <w:rFonts w:hint="eastAsia" w:ascii="宋体" w:hAnsi="宋体" w:eastAsia="宋体" w:cs="宋体"/>
          <w:snapToGrid/>
          <w:color w:val="000000"/>
          <w:kern w:val="0"/>
          <w:sz w:val="24"/>
          <w:szCs w:val="24"/>
          <w:lang w:val="en-US" w:eastAsia="zh-CN" w:bidi="ar"/>
        </w:rPr>
        <w:t>。</w:t>
      </w:r>
    </w:p>
    <w:p w14:paraId="56CBA196">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lang w:val="en-US" w:eastAsia="zh-CN" w:bidi="ar"/>
        </w:rPr>
        <w:t>（2）</w:t>
      </w:r>
      <w:r>
        <w:rPr>
          <w:rFonts w:hint="eastAsia" w:ascii="宋体" w:hAnsi="宋体" w:eastAsia="宋体" w:cs="宋体"/>
          <w:snapToGrid/>
          <w:color w:val="000000"/>
          <w:kern w:val="0"/>
          <w:sz w:val="24"/>
          <w:szCs w:val="24"/>
          <w:u w:val="single"/>
          <w:lang w:val="en-US" w:eastAsia="zh-CN" w:bidi="ar"/>
        </w:rPr>
        <w:t>监理人应在收到承包人提交的工程量报告后3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r>
        <w:rPr>
          <w:rFonts w:hint="eastAsia" w:ascii="宋体" w:hAnsi="宋体" w:eastAsia="宋体" w:cs="宋体"/>
          <w:snapToGrid/>
          <w:color w:val="000000"/>
          <w:kern w:val="0"/>
          <w:sz w:val="24"/>
          <w:szCs w:val="24"/>
          <w:lang w:val="en-US" w:eastAsia="zh-CN" w:bidi="ar"/>
        </w:rPr>
        <w:t>。</w:t>
      </w:r>
    </w:p>
    <w:p w14:paraId="22A17994">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lang w:val="en-US" w:eastAsia="zh-CN" w:bidi="ar"/>
        </w:rPr>
        <w:t>（3）</w:t>
      </w:r>
      <w:r>
        <w:rPr>
          <w:rFonts w:hint="eastAsia" w:ascii="宋体" w:hAnsi="宋体" w:eastAsia="宋体" w:cs="宋体"/>
          <w:snapToGrid/>
          <w:color w:val="000000"/>
          <w:kern w:val="0"/>
          <w:sz w:val="24"/>
          <w:szCs w:val="24"/>
          <w:u w:val="single"/>
          <w:lang w:val="en-US" w:eastAsia="zh-CN" w:bidi="ar"/>
        </w:rPr>
        <w:t>监理人未在收到承包人提交的书面工程量报表后的3天内完成审核的，承包人报送的工程量报告中的工程量视为承包人实际完成的工程量，据此计算工程价款</w:t>
      </w:r>
      <w:r>
        <w:rPr>
          <w:rFonts w:hint="eastAsia" w:ascii="宋体" w:hAnsi="宋体" w:eastAsia="宋体" w:cs="宋体"/>
          <w:snapToGrid/>
          <w:color w:val="000000"/>
          <w:kern w:val="0"/>
          <w:sz w:val="24"/>
          <w:szCs w:val="24"/>
          <w:lang w:val="en-US" w:eastAsia="zh-CN" w:bidi="ar"/>
        </w:rPr>
        <w:t>。</w:t>
      </w:r>
    </w:p>
    <w:p w14:paraId="0ACE3E7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17.1.5 总价子目的计量</w:t>
      </w:r>
    </w:p>
    <w:p w14:paraId="48999CB4">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FF0000"/>
          <w:kern w:val="0"/>
          <w:sz w:val="24"/>
          <w:szCs w:val="24"/>
          <w:u w:val="single"/>
        </w:rPr>
      </w:pPr>
      <w:r>
        <w:rPr>
          <w:rFonts w:hint="eastAsia" w:ascii="宋体" w:hAnsi="宋体" w:eastAsia="宋体" w:cs="宋体"/>
          <w:snapToGrid/>
          <w:color w:val="000000"/>
          <w:kern w:val="0"/>
          <w:sz w:val="24"/>
          <w:szCs w:val="24"/>
          <w:lang w:val="en-US" w:eastAsia="zh-CN" w:bidi="ar"/>
        </w:rPr>
        <w:t>关于总价合同计量的约定：</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w:t>
      </w:r>
    </w:p>
    <w:p w14:paraId="2B80B84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17.2 预付款</w:t>
      </w:r>
    </w:p>
    <w:p w14:paraId="19C1F595">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17.2.1 预付款的支付</w:t>
      </w:r>
    </w:p>
    <w:p w14:paraId="16004E5D">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预付款支付比例或金额：</w:t>
      </w:r>
      <w:r>
        <w:rPr>
          <w:rFonts w:hint="eastAsia" w:ascii="宋体" w:hAnsi="宋体" w:eastAsia="宋体" w:cs="宋体"/>
          <w:snapToGrid/>
          <w:color w:val="FF0000"/>
          <w:kern w:val="0"/>
          <w:sz w:val="24"/>
          <w:szCs w:val="24"/>
          <w:u w:val="single"/>
          <w:lang w:val="en-US" w:eastAsia="zh-CN" w:bidi="ar"/>
        </w:rPr>
        <w:t xml:space="preserve"> / </w:t>
      </w:r>
      <w:r>
        <w:rPr>
          <w:rFonts w:hint="eastAsia" w:ascii="宋体" w:hAnsi="宋体" w:eastAsia="宋体" w:cs="宋体"/>
          <w:snapToGrid/>
          <w:color w:val="FF0000"/>
          <w:kern w:val="0"/>
          <w:sz w:val="24"/>
          <w:szCs w:val="24"/>
          <w:lang w:val="en-US" w:eastAsia="zh-CN" w:bidi="ar"/>
        </w:rPr>
        <w:t>。</w:t>
      </w:r>
    </w:p>
    <w:p w14:paraId="602F844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17.3 工程进度付款</w:t>
      </w:r>
    </w:p>
    <w:p w14:paraId="79730BF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17.3.1 付款周期</w:t>
      </w:r>
    </w:p>
    <w:p w14:paraId="4B8A0924">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关于付款周期的约定：</w:t>
      </w:r>
      <w:r>
        <w:rPr>
          <w:rFonts w:hint="eastAsia" w:ascii="宋体" w:hAnsi="宋体" w:eastAsia="宋体" w:cs="宋体"/>
          <w:snapToGrid/>
          <w:color w:val="000000"/>
          <w:kern w:val="0"/>
          <w:sz w:val="24"/>
          <w:szCs w:val="24"/>
          <w:u w:val="single"/>
          <w:lang w:val="en-US" w:eastAsia="zh-CN" w:bidi="ar"/>
        </w:rPr>
        <w:t xml:space="preserve"> 按工程进度付款 </w:t>
      </w:r>
      <w:r>
        <w:rPr>
          <w:rFonts w:hint="eastAsia" w:ascii="宋体" w:hAnsi="宋体" w:eastAsia="宋体" w:cs="宋体"/>
          <w:snapToGrid/>
          <w:color w:val="000000"/>
          <w:kern w:val="0"/>
          <w:sz w:val="24"/>
          <w:szCs w:val="24"/>
          <w:lang w:val="en-US" w:eastAsia="zh-CN" w:bidi="ar"/>
        </w:rPr>
        <w:t>。</w:t>
      </w:r>
    </w:p>
    <w:p w14:paraId="2CD52756">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17.3.2 进度付款申请单</w:t>
      </w:r>
    </w:p>
    <w:p w14:paraId="1E46E220">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u w:val="single"/>
          <w:lang w:val="en-US" w:eastAsia="zh-CN" w:bidi="ar"/>
        </w:rPr>
        <w:t>承包人在项目支付节点工作完成后的14个工作日内按发包人要求的格式提出付款申请，向监理人提交进度付款申请单一式二份，并附相应的有关证明文件</w:t>
      </w:r>
      <w:r>
        <w:rPr>
          <w:rFonts w:hint="eastAsia" w:ascii="宋体" w:hAnsi="宋体" w:eastAsia="宋体" w:cs="宋体"/>
          <w:snapToGrid/>
          <w:color w:val="000000"/>
          <w:kern w:val="0"/>
          <w:sz w:val="24"/>
          <w:szCs w:val="24"/>
          <w:lang w:val="en-US" w:eastAsia="zh-CN" w:bidi="ar"/>
        </w:rPr>
        <w:t>。</w:t>
      </w:r>
    </w:p>
    <w:p w14:paraId="26CF87C5">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（1）单价合同进度付款申请单提交的约定：</w:t>
      </w:r>
      <w:r>
        <w:rPr>
          <w:rFonts w:hint="eastAsia" w:ascii="宋体" w:hAnsi="宋体" w:eastAsia="宋体" w:cs="宋体"/>
          <w:snapToGrid/>
          <w:color w:val="000000"/>
          <w:kern w:val="0"/>
          <w:sz w:val="24"/>
          <w:szCs w:val="24"/>
          <w:u w:val="single"/>
          <w:lang w:val="en-US" w:eastAsia="zh-CN" w:bidi="ar"/>
        </w:rPr>
        <w:t>按合同通用条款</w:t>
      </w:r>
      <w:r>
        <w:rPr>
          <w:rFonts w:hint="eastAsia" w:ascii="宋体" w:hAnsi="宋体" w:eastAsia="宋体" w:cs="宋体"/>
          <w:snapToGrid/>
          <w:color w:val="000000"/>
          <w:kern w:val="0"/>
          <w:sz w:val="24"/>
          <w:szCs w:val="24"/>
          <w:lang w:val="en-US" w:eastAsia="zh-CN" w:bidi="ar"/>
        </w:rPr>
        <w:t>。</w:t>
      </w:r>
    </w:p>
    <w:p w14:paraId="532A9D67">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（2）总价合同进度付款申请单提交的约定：</w:t>
      </w:r>
      <w:r>
        <w:rPr>
          <w:rFonts w:hint="eastAsia" w:ascii="宋体" w:hAnsi="宋体" w:eastAsia="宋体" w:cs="宋体"/>
          <w:snapToGrid/>
          <w:color w:val="000000"/>
          <w:kern w:val="0"/>
          <w:sz w:val="24"/>
          <w:szCs w:val="24"/>
          <w:u w:val="single"/>
          <w:lang w:val="en-US" w:eastAsia="zh-CN" w:bidi="ar"/>
        </w:rPr>
        <w:t>按合同通用条款</w:t>
      </w:r>
      <w:r>
        <w:rPr>
          <w:rFonts w:hint="eastAsia" w:ascii="宋体" w:hAnsi="宋体" w:eastAsia="宋体" w:cs="宋体"/>
          <w:snapToGrid/>
          <w:color w:val="000000"/>
          <w:kern w:val="0"/>
          <w:sz w:val="24"/>
          <w:szCs w:val="24"/>
          <w:lang w:val="en-US" w:eastAsia="zh-CN" w:bidi="ar"/>
        </w:rPr>
        <w:t>。</w:t>
      </w:r>
    </w:p>
    <w:p w14:paraId="4172EBD8">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lang w:val="en-US" w:eastAsia="zh-CN" w:bidi="ar"/>
        </w:rPr>
        <w:t>（3）其他价格形式合同进度付款申请单提交的约定：</w:t>
      </w:r>
      <w:r>
        <w:rPr>
          <w:rFonts w:hint="eastAsia" w:ascii="宋体" w:hAnsi="宋体" w:eastAsia="宋体" w:cs="宋体"/>
          <w:snapToGrid/>
          <w:color w:val="000000"/>
          <w:kern w:val="0"/>
          <w:sz w:val="24"/>
          <w:szCs w:val="24"/>
          <w:u w:val="single"/>
          <w:lang w:val="en-US" w:eastAsia="zh-CN" w:bidi="ar"/>
        </w:rPr>
        <w:t>按合同通用条款</w:t>
      </w:r>
      <w:r>
        <w:rPr>
          <w:rFonts w:hint="eastAsia" w:ascii="宋体" w:hAnsi="宋体" w:eastAsia="宋体" w:cs="宋体"/>
          <w:snapToGrid/>
          <w:color w:val="000000"/>
          <w:kern w:val="0"/>
          <w:sz w:val="24"/>
          <w:szCs w:val="24"/>
          <w:lang w:val="en-US" w:eastAsia="zh-CN" w:bidi="ar"/>
        </w:rPr>
        <w:t>。</w:t>
      </w:r>
    </w:p>
    <w:p w14:paraId="7E07382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FF0000"/>
          <w:kern w:val="0"/>
          <w:sz w:val="24"/>
          <w:szCs w:val="24"/>
          <w:u w:val="single"/>
        </w:rPr>
      </w:pPr>
      <w:r>
        <w:rPr>
          <w:rFonts w:hint="eastAsia" w:ascii="宋体" w:hAnsi="宋体" w:eastAsia="宋体" w:cs="宋体"/>
          <w:snapToGrid/>
          <w:color w:val="000000"/>
          <w:kern w:val="0"/>
          <w:sz w:val="24"/>
          <w:szCs w:val="24"/>
          <w:lang w:val="en-US" w:eastAsia="zh-CN" w:bidi="ar"/>
        </w:rPr>
        <w:t>（4）</w:t>
      </w:r>
      <w:r>
        <w:rPr>
          <w:rFonts w:hint="eastAsia" w:ascii="宋体" w:hAnsi="宋体" w:eastAsia="宋体" w:cs="宋体"/>
          <w:snapToGrid/>
          <w:color w:val="FF0000"/>
          <w:kern w:val="0"/>
          <w:sz w:val="24"/>
          <w:szCs w:val="24"/>
          <w:lang w:val="en-US" w:eastAsia="zh-CN" w:bidi="ar"/>
        </w:rPr>
        <w:t>工程进度付款方式：</w:t>
      </w:r>
      <w:r>
        <w:rPr>
          <w:rFonts w:hint="eastAsia" w:ascii="宋体" w:hAnsi="宋体" w:eastAsia="宋体" w:cs="宋体"/>
          <w:snapToGrid/>
          <w:color w:val="FF0000"/>
          <w:kern w:val="0"/>
          <w:sz w:val="24"/>
          <w:szCs w:val="24"/>
          <w:u w:val="single"/>
          <w:lang w:val="en-US" w:eastAsia="zh-CN" w:bidi="ar"/>
        </w:rPr>
        <w:t>按照月实际完成的工程量进行计量和支付申请，每月支付相应工程款80%的金额，承包人必须按实际工程量报进度款，若虚报工程量被发包人发现后，发包人有权按相应比例扣减工程款，待工程完成项目全部工程并经验收合格后，按照财建[2022]183号文《关于完善建设工程价款结算有关办法的通知》执行，即按80%支付比例进行支付；</w:t>
      </w:r>
      <w:r>
        <w:rPr>
          <w:rFonts w:hint="eastAsia" w:ascii="宋体" w:hAnsi="宋体" w:eastAsia="宋体" w:cs="宋体"/>
          <w:snapToGrid/>
          <w:color w:val="0000FF"/>
          <w:kern w:val="0"/>
          <w:sz w:val="24"/>
          <w:szCs w:val="24"/>
          <w:u w:val="single"/>
          <w:lang w:val="en-US" w:eastAsia="zh-CN" w:bidi="ar"/>
        </w:rPr>
        <w:t>剩余款项</w:t>
      </w:r>
      <w:r>
        <w:rPr>
          <w:rStyle w:val="78"/>
          <w:rFonts w:hint="eastAsia" w:ascii="宋体" w:hAnsi="宋体" w:eastAsia="宋体" w:cs="宋体"/>
          <w:color w:val="0000FF"/>
          <w:spacing w:val="0"/>
          <w:kern w:val="0"/>
          <w:sz w:val="24"/>
          <w:szCs w:val="24"/>
          <w:u w:val="single"/>
          <w:lang w:val="en-US" w:eastAsia="zh-CN" w:bidi="ar"/>
        </w:rPr>
        <w:t>经</w:t>
      </w:r>
      <w:r>
        <w:rPr>
          <w:rStyle w:val="78"/>
          <w:rFonts w:hint="default" w:ascii="Arial" w:hAnsi="Arial" w:eastAsia="宋体" w:cs="Arial"/>
          <w:color w:val="0000FF"/>
          <w:spacing w:val="0"/>
          <w:kern w:val="0"/>
          <w:sz w:val="24"/>
          <w:szCs w:val="24"/>
          <w:u w:val="single"/>
          <w:lang w:val="en-US" w:eastAsia="zh-CN" w:bidi="ar"/>
        </w:rPr>
        <w:t>甲方相关部门（市、区相关最新相关文件执行）</w:t>
      </w:r>
      <w:r>
        <w:rPr>
          <w:rFonts w:hint="eastAsia" w:ascii="宋体" w:hAnsi="宋体" w:eastAsia="宋体" w:cs="宋体"/>
          <w:snapToGrid/>
          <w:color w:val="FF0000"/>
          <w:kern w:val="0"/>
          <w:sz w:val="24"/>
          <w:szCs w:val="24"/>
          <w:u w:val="single"/>
          <w:lang w:val="en-US" w:eastAsia="zh-CN" w:bidi="ar"/>
        </w:rPr>
        <w:t>，支付至审定金额的97%，其余3%为质保金，待缺陷责任期满（两年）无质量问题时无息给付。</w:t>
      </w:r>
    </w:p>
    <w:p w14:paraId="54063902">
      <w:pPr>
        <w:pStyle w:val="19"/>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FF0000"/>
          <w:kern w:val="2"/>
          <w:sz w:val="24"/>
          <w:szCs w:val="24"/>
          <w:u w:val="single"/>
        </w:rPr>
      </w:pPr>
      <w:r>
        <w:rPr>
          <w:rFonts w:hint="eastAsia" w:ascii="宋体" w:hAnsi="宋体" w:eastAsia="宋体" w:cs="宋体"/>
          <w:snapToGrid/>
          <w:color w:val="FF0000"/>
          <w:kern w:val="0"/>
          <w:sz w:val="24"/>
          <w:szCs w:val="24"/>
          <w:u w:val="single"/>
          <w:lang w:val="en-US" w:eastAsia="zh-CN" w:bidi="ar"/>
        </w:rPr>
        <w:t>注：承包人向发包人提交相应额度的增值税专用发票后予以支付</w:t>
      </w:r>
      <w:r>
        <w:rPr>
          <w:rFonts w:hint="eastAsia" w:ascii="宋体" w:hAnsi="宋体" w:eastAsia="宋体" w:cs="宋体"/>
          <w:snapToGrid/>
          <w:color w:val="FF0000"/>
          <w:kern w:val="0"/>
          <w:sz w:val="24"/>
          <w:szCs w:val="24"/>
          <w:lang w:val="en-US" w:eastAsia="zh-CN" w:bidi="ar"/>
        </w:rPr>
        <w:t>。</w:t>
      </w:r>
    </w:p>
    <w:p w14:paraId="43875F1C">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17.3.3 进度付款证书和支付时间</w:t>
      </w:r>
    </w:p>
    <w:p w14:paraId="46241CDD">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lang w:val="en-US" w:eastAsia="zh-CN" w:bidi="ar"/>
        </w:rPr>
        <w:t>（1）监理人审查并报送发包人的期限：</w:t>
      </w:r>
      <w:r>
        <w:rPr>
          <w:rFonts w:hint="eastAsia" w:ascii="宋体" w:hAnsi="宋体" w:eastAsia="宋体" w:cs="宋体"/>
          <w:snapToGrid/>
          <w:color w:val="000000"/>
          <w:kern w:val="0"/>
          <w:sz w:val="24"/>
          <w:szCs w:val="24"/>
          <w:u w:val="single"/>
          <w:lang w:val="en-US" w:eastAsia="zh-CN" w:bidi="ar"/>
        </w:rPr>
        <w:t xml:space="preserve"> 3天 </w:t>
      </w:r>
      <w:r>
        <w:rPr>
          <w:rFonts w:hint="eastAsia" w:ascii="宋体" w:hAnsi="宋体" w:eastAsia="宋体" w:cs="宋体"/>
          <w:snapToGrid/>
          <w:color w:val="000000"/>
          <w:kern w:val="0"/>
          <w:sz w:val="24"/>
          <w:szCs w:val="24"/>
          <w:lang w:val="en-US" w:eastAsia="zh-CN" w:bidi="ar"/>
        </w:rPr>
        <w:t>。</w:t>
      </w:r>
    </w:p>
    <w:p w14:paraId="72E004CA">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发包人完成审批并签发进度款支付证书的期限：</w:t>
      </w:r>
      <w:r>
        <w:rPr>
          <w:rFonts w:hint="eastAsia" w:ascii="宋体" w:hAnsi="宋体" w:eastAsia="宋体" w:cs="宋体"/>
          <w:snapToGrid/>
          <w:color w:val="000000"/>
          <w:kern w:val="0"/>
          <w:sz w:val="24"/>
          <w:szCs w:val="24"/>
          <w:u w:val="single"/>
          <w:lang w:val="en-US" w:eastAsia="zh-CN" w:bidi="ar"/>
        </w:rPr>
        <w:t xml:space="preserve"> 3天 </w:t>
      </w:r>
      <w:r>
        <w:rPr>
          <w:rFonts w:hint="eastAsia" w:ascii="宋体" w:hAnsi="宋体" w:eastAsia="宋体" w:cs="宋体"/>
          <w:snapToGrid/>
          <w:color w:val="000000"/>
          <w:kern w:val="0"/>
          <w:sz w:val="24"/>
          <w:szCs w:val="24"/>
          <w:lang w:val="en-US" w:eastAsia="zh-CN" w:bidi="ar"/>
        </w:rPr>
        <w:t>。</w:t>
      </w:r>
    </w:p>
    <w:p w14:paraId="41624BCE">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（2）发包人支付进度款的期限：</w:t>
      </w:r>
      <w:r>
        <w:rPr>
          <w:rFonts w:hint="eastAsia" w:ascii="宋体" w:hAnsi="宋体" w:eastAsia="宋体" w:cs="宋体"/>
          <w:snapToGrid/>
          <w:color w:val="000000"/>
          <w:kern w:val="0"/>
          <w:sz w:val="24"/>
          <w:szCs w:val="24"/>
          <w:u w:val="single"/>
          <w:lang w:val="en-US" w:eastAsia="zh-CN" w:bidi="ar"/>
        </w:rPr>
        <w:t xml:space="preserve"> 14天 </w:t>
      </w:r>
      <w:r>
        <w:rPr>
          <w:rFonts w:hint="eastAsia" w:ascii="宋体" w:hAnsi="宋体" w:eastAsia="宋体" w:cs="宋体"/>
          <w:snapToGrid/>
          <w:color w:val="000000"/>
          <w:kern w:val="0"/>
          <w:sz w:val="24"/>
          <w:szCs w:val="24"/>
          <w:lang w:val="en-US" w:eastAsia="zh-CN" w:bidi="ar"/>
        </w:rPr>
        <w:t>。</w:t>
      </w:r>
    </w:p>
    <w:p w14:paraId="0BD6C51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发包人逾期支付进度款的违约金的计算方式：</w:t>
      </w:r>
      <w:r>
        <w:rPr>
          <w:rFonts w:hint="eastAsia" w:ascii="宋体" w:hAnsi="宋体" w:eastAsia="宋体" w:cs="宋体"/>
          <w:snapToGrid/>
          <w:color w:val="000000"/>
          <w:kern w:val="0"/>
          <w:sz w:val="24"/>
          <w:szCs w:val="24"/>
          <w:u w:val="single"/>
          <w:lang w:val="en-US" w:eastAsia="zh-CN" w:bidi="ar"/>
        </w:rPr>
        <w:t xml:space="preserve"> 无 </w:t>
      </w:r>
      <w:r>
        <w:rPr>
          <w:rFonts w:hint="eastAsia" w:ascii="宋体" w:hAnsi="宋体" w:eastAsia="宋体" w:cs="宋体"/>
          <w:snapToGrid/>
          <w:color w:val="000000"/>
          <w:kern w:val="0"/>
          <w:sz w:val="24"/>
          <w:szCs w:val="24"/>
          <w:lang w:val="en-US" w:eastAsia="zh-CN" w:bidi="ar"/>
        </w:rPr>
        <w:t>。</w:t>
      </w:r>
    </w:p>
    <w:p w14:paraId="72456211">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17.4 质量保证金</w:t>
      </w:r>
    </w:p>
    <w:p w14:paraId="36DCAAB0">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关于是否扣留质量保证金的约定：</w:t>
      </w:r>
      <w:r>
        <w:rPr>
          <w:rFonts w:hint="eastAsia" w:ascii="宋体" w:hAnsi="宋体" w:eastAsia="宋体" w:cs="宋体"/>
          <w:snapToGrid/>
          <w:color w:val="000000"/>
          <w:kern w:val="0"/>
          <w:sz w:val="24"/>
          <w:szCs w:val="24"/>
          <w:u w:val="single"/>
          <w:lang w:val="en-US" w:eastAsia="zh-CN" w:bidi="ar"/>
        </w:rPr>
        <w:t xml:space="preserve"> 扣留保证金 </w:t>
      </w:r>
      <w:r>
        <w:rPr>
          <w:rFonts w:hint="eastAsia" w:ascii="宋体" w:hAnsi="宋体" w:eastAsia="宋体" w:cs="宋体"/>
          <w:snapToGrid/>
          <w:color w:val="000000"/>
          <w:kern w:val="0"/>
          <w:sz w:val="24"/>
          <w:szCs w:val="24"/>
          <w:lang w:val="en-US" w:eastAsia="zh-CN" w:bidi="ar"/>
        </w:rPr>
        <w:t>。在工程项目竣工前，承包人按专用合同条款提供履约担保的，发包人不得同时预留工程质量保证金。</w:t>
      </w:r>
    </w:p>
    <w:p w14:paraId="00DABFFE">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17.4.4 承包人提供质量保证金的方式</w:t>
      </w:r>
    </w:p>
    <w:p w14:paraId="42AB6A0E">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质量保证金采用以下第</w:t>
      </w:r>
      <w:r>
        <w:rPr>
          <w:rFonts w:hint="eastAsia" w:ascii="宋体" w:hAnsi="宋体" w:eastAsia="宋体" w:cs="宋体"/>
          <w:snapToGrid/>
          <w:color w:val="000000"/>
          <w:kern w:val="0"/>
          <w:sz w:val="24"/>
          <w:szCs w:val="24"/>
          <w:u w:val="single"/>
          <w:lang w:val="en-US" w:eastAsia="zh-CN" w:bidi="ar"/>
        </w:rPr>
        <w:t xml:space="preserve"> （2） </w:t>
      </w:r>
      <w:r>
        <w:rPr>
          <w:rFonts w:hint="eastAsia" w:ascii="宋体" w:hAnsi="宋体" w:eastAsia="宋体" w:cs="宋体"/>
          <w:snapToGrid/>
          <w:color w:val="000000"/>
          <w:kern w:val="0"/>
          <w:sz w:val="24"/>
          <w:szCs w:val="24"/>
          <w:lang w:val="en-US" w:eastAsia="zh-CN" w:bidi="ar"/>
        </w:rPr>
        <w:t>种方式：</w:t>
      </w:r>
    </w:p>
    <w:p w14:paraId="00F68BA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（1）质量保证金保函，保证金额为：</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 xml:space="preserve">； </w:t>
      </w:r>
    </w:p>
    <w:p w14:paraId="7151F20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（2）</w:t>
      </w:r>
      <w:r>
        <w:rPr>
          <w:rFonts w:hint="eastAsia" w:ascii="宋体" w:hAnsi="宋体" w:eastAsia="宋体" w:cs="宋体"/>
          <w:snapToGrid/>
          <w:color w:val="000000"/>
          <w:kern w:val="0"/>
          <w:sz w:val="24"/>
          <w:szCs w:val="24"/>
          <w:u w:val="single"/>
          <w:lang w:val="en-US" w:eastAsia="zh-CN" w:bidi="ar"/>
        </w:rPr>
        <w:t xml:space="preserve"> 3% </w:t>
      </w:r>
      <w:r>
        <w:rPr>
          <w:rFonts w:hint="eastAsia" w:ascii="宋体" w:hAnsi="宋体" w:eastAsia="宋体" w:cs="宋体"/>
          <w:snapToGrid/>
          <w:color w:val="000000"/>
          <w:kern w:val="0"/>
          <w:sz w:val="24"/>
          <w:szCs w:val="24"/>
          <w:lang w:val="en-US" w:eastAsia="zh-CN" w:bidi="ar"/>
        </w:rPr>
        <w:t>的工程款；</w:t>
      </w:r>
    </w:p>
    <w:p w14:paraId="218BF138">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（3）其他方式：</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w:t>
      </w:r>
    </w:p>
    <w:p w14:paraId="110097E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 xml:space="preserve">17.4.5 质量保证金的扣留 </w:t>
      </w:r>
    </w:p>
    <w:p w14:paraId="608517F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质量保证金的扣留采取以下第</w:t>
      </w:r>
      <w:r>
        <w:rPr>
          <w:rFonts w:hint="eastAsia" w:ascii="宋体" w:hAnsi="宋体" w:eastAsia="宋体" w:cs="宋体"/>
          <w:snapToGrid/>
          <w:color w:val="000000"/>
          <w:kern w:val="0"/>
          <w:sz w:val="24"/>
          <w:szCs w:val="24"/>
          <w:u w:val="single"/>
          <w:lang w:val="en-US" w:eastAsia="zh-CN" w:bidi="ar"/>
        </w:rPr>
        <w:t xml:space="preserve"> （2） </w:t>
      </w:r>
      <w:r>
        <w:rPr>
          <w:rFonts w:hint="eastAsia" w:ascii="宋体" w:hAnsi="宋体" w:eastAsia="宋体" w:cs="宋体"/>
          <w:snapToGrid/>
          <w:color w:val="000000"/>
          <w:kern w:val="0"/>
          <w:sz w:val="24"/>
          <w:szCs w:val="24"/>
          <w:lang w:val="en-US" w:eastAsia="zh-CN" w:bidi="ar"/>
        </w:rPr>
        <w:t>种方式：</w:t>
      </w:r>
    </w:p>
    <w:p w14:paraId="383B2B3E">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（1）在支付工程进度款时逐次扣留，在此情形下，质量保证金的计算基数不包括预付款的支付、扣回以及价格调整的金额；</w:t>
      </w:r>
    </w:p>
    <w:p w14:paraId="648D454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（2）工程竣工结算时一次性扣留质量保证金；</w:t>
      </w:r>
    </w:p>
    <w:p w14:paraId="4B3EB45E">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（3）其他扣留方式：</w:t>
      </w:r>
      <w:r>
        <w:rPr>
          <w:rFonts w:hint="eastAsia" w:ascii="宋体" w:hAnsi="宋体" w:eastAsia="宋体" w:cs="宋体"/>
          <w:snapToGrid/>
          <w:color w:val="000000"/>
          <w:kern w:val="0"/>
          <w:sz w:val="24"/>
          <w:szCs w:val="24"/>
          <w:u w:val="single"/>
          <w:lang w:val="en-US" w:eastAsia="zh-CN" w:bidi="ar"/>
        </w:rPr>
        <w:t xml:space="preserve">  /  </w:t>
      </w:r>
      <w:r>
        <w:rPr>
          <w:rFonts w:hint="eastAsia" w:ascii="宋体" w:hAnsi="宋体" w:eastAsia="宋体" w:cs="宋体"/>
          <w:snapToGrid/>
          <w:color w:val="000000"/>
          <w:kern w:val="0"/>
          <w:sz w:val="24"/>
          <w:szCs w:val="24"/>
          <w:lang w:val="en-US" w:eastAsia="zh-CN" w:bidi="ar"/>
        </w:rPr>
        <w:t>。</w:t>
      </w:r>
    </w:p>
    <w:p w14:paraId="7C34B240">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关于质量保证金的补充约定：</w:t>
      </w:r>
      <w:r>
        <w:rPr>
          <w:rFonts w:hint="eastAsia" w:ascii="宋体" w:hAnsi="宋体" w:eastAsia="宋体" w:cs="宋体"/>
          <w:snapToGrid/>
          <w:color w:val="000000"/>
          <w:kern w:val="0"/>
          <w:sz w:val="24"/>
          <w:szCs w:val="24"/>
          <w:u w:val="single"/>
          <w:lang w:val="en-US" w:eastAsia="zh-CN" w:bidi="ar"/>
        </w:rPr>
        <w:t>当发包人办理完竣工结算审核后，发包人扣留结算金额的3%作为质量保证金，所扣留的质量保证金不计利息等所有财务费用</w:t>
      </w:r>
      <w:r>
        <w:rPr>
          <w:rFonts w:hint="eastAsia" w:ascii="宋体" w:hAnsi="宋体" w:eastAsia="宋体" w:cs="宋体"/>
          <w:snapToGrid/>
          <w:color w:val="000000"/>
          <w:kern w:val="0"/>
          <w:sz w:val="24"/>
          <w:szCs w:val="24"/>
          <w:lang w:val="en-US" w:eastAsia="zh-CN" w:bidi="ar"/>
        </w:rPr>
        <w:t>。</w:t>
      </w:r>
    </w:p>
    <w:p w14:paraId="5DAF1A05">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（4）缺陷责任期满后，承包人申请返还质保金，若存在未修复缺陷，发包人有权扣除相应修复费用后返还剩余质保金。</w:t>
      </w:r>
    </w:p>
    <w:p w14:paraId="48B269CC">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17.5 竣工结算</w:t>
      </w:r>
    </w:p>
    <w:p w14:paraId="365A4AD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17.5.1 竣工付款申请单</w:t>
      </w:r>
    </w:p>
    <w:p w14:paraId="7DB82980">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lang w:val="en-US" w:eastAsia="zh-CN" w:bidi="ar"/>
        </w:rPr>
        <w:t>承包人提交竣工结算申请单的期限：</w:t>
      </w:r>
      <w:r>
        <w:rPr>
          <w:rFonts w:hint="eastAsia" w:ascii="宋体" w:hAnsi="宋体" w:eastAsia="宋体" w:cs="宋体"/>
          <w:snapToGrid/>
          <w:color w:val="000000"/>
          <w:kern w:val="0"/>
          <w:sz w:val="24"/>
          <w:szCs w:val="24"/>
          <w:u w:val="single"/>
          <w:lang w:val="en-US" w:eastAsia="zh-CN" w:bidi="ar"/>
        </w:rPr>
        <w:t>工程竣工验收后的 30 天内，承包人报送竣工结算书，承包人未能向发包人递交合格的竣工结算报告及完整的结算资料，造成工程竣工结算不能正常进行或工程竣工结算价款不能及时支付，发包人要求交付工程，承包人应当交付，发包人不要求交付工程的，承包人承担保管责任，承包人无故拖延不交竣工结算报告，由承包人按 5000 元/天支付违约金</w:t>
      </w:r>
      <w:r>
        <w:rPr>
          <w:rFonts w:hint="eastAsia" w:ascii="宋体" w:hAnsi="宋体" w:eastAsia="宋体" w:cs="宋体"/>
          <w:snapToGrid/>
          <w:color w:val="000000"/>
          <w:kern w:val="0"/>
          <w:sz w:val="24"/>
          <w:szCs w:val="24"/>
          <w:lang w:val="en-US" w:eastAsia="zh-CN" w:bidi="ar"/>
        </w:rPr>
        <w:t>。</w:t>
      </w:r>
    </w:p>
    <w:p w14:paraId="700C51E6">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u w:val="single"/>
        </w:rPr>
      </w:pPr>
      <w:r>
        <w:rPr>
          <w:rFonts w:hint="eastAsia" w:ascii="宋体" w:hAnsi="宋体" w:eastAsia="宋体" w:cs="宋体"/>
          <w:snapToGrid/>
          <w:color w:val="000000"/>
          <w:kern w:val="0"/>
          <w:sz w:val="24"/>
          <w:szCs w:val="24"/>
          <w:u w:val="single"/>
          <w:lang w:val="en-US" w:eastAsia="zh-CN" w:bidi="ar"/>
        </w:rPr>
        <w:t>因承包人原因未在竣工验收后第二个年度内完成结算审计，造成不能及时支付尾款，由承包人自行承担责任及损失。</w:t>
      </w:r>
    </w:p>
    <w:p w14:paraId="624A1AC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竣工结算申请单应包括的内容：</w:t>
      </w:r>
      <w:r>
        <w:rPr>
          <w:rFonts w:hint="eastAsia" w:ascii="宋体" w:hAnsi="宋体" w:eastAsia="宋体" w:cs="宋体"/>
          <w:snapToGrid/>
          <w:color w:val="000000"/>
          <w:kern w:val="0"/>
          <w:sz w:val="24"/>
          <w:szCs w:val="24"/>
          <w:u w:val="single"/>
          <w:lang w:val="en-US" w:eastAsia="zh-CN" w:bidi="ar"/>
        </w:rPr>
        <w:t>施工设计图及所有设计文件、施工合同及其补充协议、开工令、经监理人和发包人签字认可的竣工图、竣工验收文件、竣工结算书及其支持文件（含电子文档）、工程变更文件、详细的工程量计算式（含电子文档）、招标文件、投标文件、投标报价电子文档、施工图预算等与竣工结算有关的所有原始资料（具体以发包人的要求为准）</w:t>
      </w:r>
      <w:r>
        <w:rPr>
          <w:rFonts w:hint="eastAsia" w:ascii="宋体" w:hAnsi="宋体" w:eastAsia="宋体" w:cs="宋体"/>
          <w:snapToGrid/>
          <w:color w:val="000000"/>
          <w:kern w:val="0"/>
          <w:sz w:val="24"/>
          <w:szCs w:val="24"/>
          <w:lang w:val="en-US" w:eastAsia="zh-CN" w:bidi="ar"/>
        </w:rPr>
        <w:t>。</w:t>
      </w:r>
    </w:p>
    <w:p w14:paraId="26C3CA06">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spacing w:val="0"/>
          <w:kern w:val="0"/>
          <w:sz w:val="24"/>
          <w:szCs w:val="24"/>
          <w:lang w:val="en-US" w:eastAsia="zh-CN" w:bidi="ar"/>
        </w:rPr>
        <w:t xml:space="preserve">17.5.3 </w:t>
      </w:r>
      <w:r>
        <w:rPr>
          <w:rFonts w:hint="eastAsia" w:ascii="宋体" w:hAnsi="宋体" w:eastAsia="宋体" w:cs="宋体"/>
          <w:snapToGrid/>
          <w:color w:val="000000"/>
          <w:kern w:val="0"/>
          <w:sz w:val="24"/>
          <w:szCs w:val="24"/>
          <w:lang w:val="en-US" w:eastAsia="zh-CN" w:bidi="ar"/>
        </w:rPr>
        <w:t>竣工结算审核</w:t>
      </w:r>
    </w:p>
    <w:p w14:paraId="7F98AC1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lang w:val="en-US" w:eastAsia="zh-CN" w:bidi="ar"/>
        </w:rPr>
        <w:t>发包人审批竣工付款申请单的期限：</w:t>
      </w:r>
      <w:r>
        <w:rPr>
          <w:rFonts w:hint="eastAsia" w:ascii="宋体" w:hAnsi="宋体" w:eastAsia="宋体" w:cs="宋体"/>
          <w:snapToGrid/>
          <w:color w:val="000000"/>
          <w:kern w:val="0"/>
          <w:sz w:val="24"/>
          <w:szCs w:val="24"/>
          <w:u w:val="single"/>
          <w:lang w:val="en-US" w:eastAsia="zh-CN" w:bidi="ar"/>
        </w:rPr>
        <w:t>监理人应在收到竣工结算申请单后 7 天内完成核查并报送发包人。发包人应在收到监理人提交的经审核的竣工结算申请单后 28个工作日内完成审批，并由监理人向承包人签发经发包人签认的竣工付款证书</w:t>
      </w:r>
      <w:r>
        <w:rPr>
          <w:rFonts w:hint="eastAsia" w:ascii="宋体" w:hAnsi="宋体" w:eastAsia="宋体" w:cs="宋体"/>
          <w:snapToGrid/>
          <w:color w:val="000000"/>
          <w:kern w:val="0"/>
          <w:sz w:val="24"/>
          <w:szCs w:val="24"/>
          <w:lang w:val="en-US" w:eastAsia="zh-CN" w:bidi="ar"/>
        </w:rPr>
        <w:t>。</w:t>
      </w:r>
    </w:p>
    <w:p w14:paraId="7370C072">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发包人完成竣工付款的期限：</w:t>
      </w:r>
      <w:r>
        <w:rPr>
          <w:rFonts w:hint="eastAsia" w:ascii="宋体" w:hAnsi="宋体" w:eastAsia="宋体" w:cs="宋体"/>
          <w:snapToGrid/>
          <w:color w:val="000000"/>
          <w:kern w:val="0"/>
          <w:sz w:val="24"/>
          <w:szCs w:val="24"/>
          <w:u w:val="single"/>
          <w:lang w:val="en-US" w:eastAsia="zh-CN" w:bidi="ar"/>
        </w:rPr>
        <w:t>发包人应在签发竣工付款证书后的 56 个工作日内，完成对承包人的竣工付款</w:t>
      </w:r>
      <w:r>
        <w:rPr>
          <w:rFonts w:hint="eastAsia" w:ascii="宋体" w:hAnsi="宋体" w:eastAsia="宋体" w:cs="宋体"/>
          <w:snapToGrid/>
          <w:color w:val="000000"/>
          <w:kern w:val="0"/>
          <w:sz w:val="24"/>
          <w:szCs w:val="24"/>
          <w:lang w:val="en-US" w:eastAsia="zh-CN" w:bidi="ar"/>
        </w:rPr>
        <w:t>。</w:t>
      </w:r>
    </w:p>
    <w:p w14:paraId="4D121030">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关于竣工付款证书异议部分复核的方式和程序：</w:t>
      </w:r>
      <w:r>
        <w:rPr>
          <w:rFonts w:hint="eastAsia" w:ascii="宋体" w:hAnsi="宋体" w:eastAsia="宋体" w:cs="宋体"/>
          <w:snapToGrid/>
          <w:color w:val="000000"/>
          <w:kern w:val="0"/>
          <w:sz w:val="24"/>
          <w:szCs w:val="24"/>
          <w:u w:val="single"/>
          <w:lang w:val="en-US" w:eastAsia="zh-CN" w:bidi="ar"/>
        </w:rPr>
        <w:t>监理人或发包人对竣工结算申请单有异议的，有权要求承包人进行修正和提供补充资料，承包人应提交修正后的竣工结算申请单</w:t>
      </w:r>
      <w:r>
        <w:rPr>
          <w:rFonts w:hint="eastAsia" w:ascii="宋体" w:hAnsi="宋体" w:eastAsia="宋体" w:cs="宋体"/>
          <w:snapToGrid/>
          <w:color w:val="000000"/>
          <w:kern w:val="0"/>
          <w:sz w:val="24"/>
          <w:szCs w:val="24"/>
          <w:lang w:val="en-US" w:eastAsia="zh-CN" w:bidi="ar"/>
        </w:rPr>
        <w:t>。</w:t>
      </w:r>
    </w:p>
    <w:p w14:paraId="0A987AB1">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17.6 最终结清</w:t>
      </w:r>
    </w:p>
    <w:p w14:paraId="45FD87EF">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17.6.1 最终结清申请单</w:t>
      </w:r>
    </w:p>
    <w:p w14:paraId="3FA2487B">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承包人提交最终结清申请单的份数：</w:t>
      </w:r>
      <w:r>
        <w:rPr>
          <w:rFonts w:hint="eastAsia" w:ascii="宋体" w:hAnsi="宋体" w:eastAsia="宋体" w:cs="宋体"/>
          <w:snapToGrid/>
          <w:color w:val="000000"/>
          <w:kern w:val="0"/>
          <w:sz w:val="24"/>
          <w:szCs w:val="24"/>
          <w:u w:val="single"/>
          <w:lang w:val="en-US" w:eastAsia="zh-CN" w:bidi="ar"/>
        </w:rPr>
        <w:t xml:space="preserve"> 按发包人要求 </w:t>
      </w:r>
      <w:r>
        <w:rPr>
          <w:rFonts w:hint="eastAsia" w:ascii="宋体" w:hAnsi="宋体" w:eastAsia="宋体" w:cs="宋体"/>
          <w:snapToGrid/>
          <w:color w:val="000000"/>
          <w:kern w:val="0"/>
          <w:sz w:val="24"/>
          <w:szCs w:val="24"/>
          <w:lang w:val="en-US" w:eastAsia="zh-CN" w:bidi="ar"/>
        </w:rPr>
        <w:t>。</w:t>
      </w:r>
    </w:p>
    <w:p w14:paraId="63E4FD78">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承包人提交最终结算申请单的期限：</w:t>
      </w:r>
      <w:r>
        <w:rPr>
          <w:rFonts w:hint="eastAsia" w:ascii="宋体" w:hAnsi="宋体" w:eastAsia="宋体" w:cs="宋体"/>
          <w:snapToGrid/>
          <w:color w:val="000000"/>
          <w:kern w:val="0"/>
          <w:sz w:val="24"/>
          <w:szCs w:val="24"/>
          <w:u w:val="single"/>
          <w:lang w:val="en-US" w:eastAsia="zh-CN" w:bidi="ar"/>
        </w:rPr>
        <w:t xml:space="preserve"> 30天 </w:t>
      </w:r>
      <w:r>
        <w:rPr>
          <w:rFonts w:hint="eastAsia" w:ascii="宋体" w:hAnsi="宋体" w:eastAsia="宋体" w:cs="宋体"/>
          <w:snapToGrid/>
          <w:color w:val="000000"/>
          <w:kern w:val="0"/>
          <w:sz w:val="24"/>
          <w:szCs w:val="24"/>
          <w:lang w:val="en-US" w:eastAsia="zh-CN" w:bidi="ar"/>
        </w:rPr>
        <w:t>。</w:t>
      </w:r>
    </w:p>
    <w:p w14:paraId="7A03BD71">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17.6.2 最终结清证书和支付时间</w:t>
      </w:r>
    </w:p>
    <w:p w14:paraId="5E7D2E1C">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（1）发包人完成最终结清申请单的审批并颁发最终结清证书的期限：</w:t>
      </w:r>
      <w:r>
        <w:rPr>
          <w:rFonts w:hint="eastAsia" w:ascii="宋体" w:hAnsi="宋体" w:eastAsia="宋体" w:cs="宋体"/>
          <w:snapToGrid/>
          <w:color w:val="000000"/>
          <w:kern w:val="0"/>
          <w:sz w:val="24"/>
          <w:szCs w:val="24"/>
          <w:u w:val="single"/>
          <w:lang w:val="en-US" w:eastAsia="zh-CN" w:bidi="ar"/>
        </w:rPr>
        <w:t>28个工作日内</w:t>
      </w:r>
      <w:r>
        <w:rPr>
          <w:rFonts w:hint="eastAsia" w:ascii="宋体" w:hAnsi="宋体" w:eastAsia="宋体" w:cs="宋体"/>
          <w:snapToGrid/>
          <w:color w:val="000000"/>
          <w:kern w:val="0"/>
          <w:sz w:val="24"/>
          <w:szCs w:val="24"/>
          <w:lang w:val="en-US" w:eastAsia="zh-CN" w:bidi="ar"/>
        </w:rPr>
        <w:t>。</w:t>
      </w:r>
    </w:p>
    <w:p w14:paraId="354F8701">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（2）发包人完成支付的期限：</w:t>
      </w:r>
      <w:r>
        <w:rPr>
          <w:rFonts w:hint="eastAsia" w:ascii="宋体" w:hAnsi="宋体" w:eastAsia="宋体" w:cs="宋体"/>
          <w:snapToGrid/>
          <w:color w:val="000000"/>
          <w:kern w:val="0"/>
          <w:sz w:val="24"/>
          <w:szCs w:val="24"/>
          <w:u w:val="single"/>
          <w:lang w:val="en-US" w:eastAsia="zh-CN" w:bidi="ar"/>
        </w:rPr>
        <w:t>60个工作日内</w:t>
      </w:r>
      <w:r>
        <w:rPr>
          <w:rFonts w:hint="eastAsia" w:ascii="宋体" w:hAnsi="宋体" w:eastAsia="宋体" w:cs="宋体"/>
          <w:snapToGrid/>
          <w:color w:val="000000"/>
          <w:kern w:val="0"/>
          <w:sz w:val="24"/>
          <w:szCs w:val="24"/>
          <w:lang w:val="en-US" w:eastAsia="zh-CN" w:bidi="ar"/>
        </w:rPr>
        <w:t>。</w:t>
      </w:r>
    </w:p>
    <w:p w14:paraId="6426E3E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18.</w:t>
      </w:r>
      <w:r>
        <w:rPr>
          <w:rFonts w:hint="eastAsia" w:ascii="黑体" w:hAnsi="宋体" w:eastAsia="黑体" w:cs="黑体"/>
          <w:snapToGrid/>
          <w:color w:val="000000"/>
          <w:spacing w:val="0"/>
          <w:kern w:val="0"/>
          <w:sz w:val="24"/>
          <w:szCs w:val="24"/>
          <w:lang w:val="en-US" w:eastAsia="zh-CN" w:bidi="ar"/>
        </w:rPr>
        <w:t xml:space="preserve">  </w:t>
      </w:r>
      <w:r>
        <w:rPr>
          <w:rFonts w:hint="eastAsia" w:ascii="黑体" w:hAnsi="宋体" w:eastAsia="黑体" w:cs="黑体"/>
          <w:b/>
          <w:bCs/>
          <w:snapToGrid/>
          <w:color w:val="000000"/>
          <w:spacing w:val="0"/>
          <w:kern w:val="0"/>
          <w:sz w:val="24"/>
          <w:szCs w:val="24"/>
          <w:lang w:val="en-US" w:eastAsia="zh-CN" w:bidi="ar"/>
        </w:rPr>
        <w:t>竣工验收</w:t>
      </w:r>
    </w:p>
    <w:p w14:paraId="79C340DE">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18.1 竣工验收的含义</w:t>
      </w:r>
    </w:p>
    <w:p w14:paraId="74FD1444">
      <w:pPr>
        <w:keepNext w:val="0"/>
        <w:keepLines w:val="0"/>
        <w:widowControl w:val="0"/>
        <w:suppressLineNumbers w:val="0"/>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spacing w:val="0"/>
          <w:kern w:val="0"/>
          <w:sz w:val="24"/>
          <w:szCs w:val="24"/>
          <w:lang w:val="en-US" w:eastAsia="zh-CN" w:bidi="ar"/>
        </w:rPr>
        <w:t xml:space="preserve">18.1.1 </w:t>
      </w:r>
      <w:r>
        <w:rPr>
          <w:rFonts w:hint="eastAsia" w:ascii="宋体" w:hAnsi="宋体" w:eastAsia="宋体" w:cs="宋体"/>
          <w:snapToGrid/>
          <w:color w:val="000000"/>
          <w:kern w:val="0"/>
          <w:sz w:val="24"/>
          <w:szCs w:val="24"/>
          <w:lang w:val="en-US" w:eastAsia="zh-CN" w:bidi="ar"/>
        </w:rPr>
        <w:t>在向监理人提交竣工验收申请报告前，承包人应当完成竣工验收前的清理工作，包括但不限于：</w:t>
      </w:r>
    </w:p>
    <w:p w14:paraId="4E005953">
      <w:pPr>
        <w:keepNext w:val="0"/>
        <w:keepLines w:val="0"/>
        <w:widowControl w:val="0"/>
        <w:suppressLineNumbers w:val="0"/>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（1）从永久工程内清除所有剩余材料、杂物、垃圾等等；</w:t>
      </w:r>
    </w:p>
    <w:p w14:paraId="4A3E8199">
      <w:pPr>
        <w:keepNext w:val="0"/>
        <w:keepLines w:val="0"/>
        <w:widowControl w:val="0"/>
        <w:suppressLineNumbers w:val="0"/>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（2）清洗工程的所有地面、墙面、楼面、路面等表面；</w:t>
      </w:r>
    </w:p>
    <w:p w14:paraId="6D2A6797">
      <w:pPr>
        <w:keepNext w:val="0"/>
        <w:keepLines w:val="0"/>
        <w:widowControl w:val="0"/>
        <w:suppressLineNumbers w:val="0"/>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（3）清洗和擦洗所有玻璃、磁砖、石材和所有金属面；</w:t>
      </w:r>
    </w:p>
    <w:p w14:paraId="2D2BB153">
      <w:pPr>
        <w:keepNext w:val="0"/>
        <w:keepLines w:val="0"/>
        <w:widowControl w:val="0"/>
        <w:suppressLineNumbers w:val="0"/>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（4）修缮所有损坏、清除所有污迹、替换所有需更换的材料；</w:t>
      </w:r>
    </w:p>
    <w:p w14:paraId="37F6D8A5">
      <w:pPr>
        <w:keepNext w:val="0"/>
        <w:keepLines w:val="0"/>
        <w:widowControl w:val="0"/>
        <w:suppressLineNumbers w:val="0"/>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（5）所有表面完成约定的装修和装饰；</w:t>
      </w:r>
    </w:p>
    <w:p w14:paraId="43F793DB">
      <w:pPr>
        <w:keepNext w:val="0"/>
        <w:keepLines w:val="0"/>
        <w:widowControl w:val="0"/>
        <w:suppressLineNumbers w:val="0"/>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（6）检查和调试所有的门、窗、抽屉等以确保他们开启的顺畅；</w:t>
      </w:r>
    </w:p>
    <w:p w14:paraId="6E99F7DB">
      <w:pPr>
        <w:keepNext w:val="0"/>
        <w:keepLines w:val="0"/>
        <w:widowControl w:val="0"/>
        <w:suppressLineNumbers w:val="0"/>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（7）检查和调试所有的五金件并上油；</w:t>
      </w:r>
    </w:p>
    <w:p w14:paraId="172668F4">
      <w:pPr>
        <w:keepNext w:val="0"/>
        <w:keepLines w:val="0"/>
        <w:widowControl w:val="0"/>
        <w:suppressLineNumbers w:val="0"/>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（8）检查、测试和确保所有服务系统、设施和设备达到良好的运行状态和效果；</w:t>
      </w:r>
    </w:p>
    <w:p w14:paraId="24112B70">
      <w:pPr>
        <w:keepNext w:val="0"/>
        <w:keepLines w:val="0"/>
        <w:widowControl w:val="0"/>
        <w:suppressLineNumbers w:val="0"/>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（9）所有钥匙（如果有）贴上标签并固定到钥匙排上随时可以交给监理人。</w:t>
      </w:r>
    </w:p>
    <w:p w14:paraId="4728BA23">
      <w:pPr>
        <w:keepNext w:val="0"/>
        <w:keepLines w:val="0"/>
        <w:widowControl w:val="0"/>
        <w:suppressLineNumbers w:val="0"/>
        <w:kinsoku w:val="0"/>
        <w:autoSpaceDE w:val="0"/>
        <w:autoSpaceDN/>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 xml:space="preserve"> 清理工作所需费用由承包人承担。</w:t>
      </w:r>
    </w:p>
    <w:p w14:paraId="57F67C1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18.2 竣工验收申请报告</w:t>
      </w:r>
    </w:p>
    <w:p w14:paraId="5449567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当工程具备以下条件时，承包人即可向监理人报送竣工验收申请报告：</w:t>
      </w:r>
    </w:p>
    <w:p w14:paraId="485417A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（1）除监理人同意列入缺陷责任期内完成的尾工（甩项）工程和缺陷修补工作外，合同范围</w:t>
      </w:r>
      <w:r>
        <w:rPr>
          <w:rFonts w:hint="eastAsia" w:ascii="宋体" w:hAnsi="宋体" w:eastAsia="宋体" w:cs="宋体"/>
          <w:snapToGrid/>
          <w:color w:val="0000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内的全部单位工程以及有关工作，包括合同要求的试验、试运行以及检验和验收均已完成，并符</w:t>
      </w:r>
      <w:r>
        <w:rPr>
          <w:rFonts w:hint="eastAsia" w:ascii="宋体" w:hAnsi="宋体" w:eastAsia="宋体" w:cs="宋体"/>
          <w:snapToGrid/>
          <w:color w:val="0000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合合同要求；</w:t>
      </w:r>
    </w:p>
    <w:p w14:paraId="69617680">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（2）已按合同约定的内容和份数备齐了符合要求的竣工资料；</w:t>
      </w:r>
    </w:p>
    <w:p w14:paraId="081A8F38">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（3）已按监理人的要求编制了在缺陷责任期内完成的尾工（甩项）工程和缺陷修补工作清单</w:t>
      </w:r>
      <w:r>
        <w:rPr>
          <w:rFonts w:hint="eastAsia" w:ascii="宋体" w:hAnsi="宋体" w:eastAsia="宋体" w:cs="宋体"/>
          <w:snapToGrid/>
          <w:color w:val="0000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以及相应施工计划；</w:t>
      </w:r>
    </w:p>
    <w:p w14:paraId="7A8259B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（4）监理人要求在竣工验收前应完成的其他工作；</w:t>
      </w:r>
    </w:p>
    <w:p w14:paraId="41D259C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（5）监理人要求提交的竣工验收资料清单。</w:t>
      </w:r>
    </w:p>
    <w:p w14:paraId="38161478">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18.8 施工队伍的撤离</w:t>
      </w:r>
    </w:p>
    <w:p w14:paraId="2CF665A0">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承包人的人员和施工设备全部撤离施工场地的时间：项目竣工消缺完成后 1</w:t>
      </w:r>
      <w:r>
        <w:rPr>
          <w:rFonts w:hint="eastAsia" w:ascii="宋体" w:hAnsi="宋体" w:eastAsia="宋体" w:cs="宋体"/>
          <w:snapToGrid/>
          <w:color w:val="0000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个月内完成撤离，否则发包人有权自行清理承包人留置在施工场地的施工设备，因此给承包人造成的损失由承包人自行承担，发包人对此不承担任何责任。</w:t>
      </w:r>
    </w:p>
    <w:p w14:paraId="146DBA5E">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18.9 竣工后试验</w:t>
      </w:r>
    </w:p>
    <w:p w14:paraId="194940CF">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（1）承包人为竣工后试验提供必要的电力、材料、</w:t>
      </w:r>
      <w:r>
        <w:rPr>
          <w:rFonts w:hint="eastAsia" w:ascii="宋体" w:hAnsi="宋体" w:eastAsia="宋体" w:cs="宋体"/>
          <w:snapToGrid/>
          <w:color w:val="000000"/>
          <w:spacing w:val="0"/>
          <w:kern w:val="0"/>
          <w:sz w:val="24"/>
          <w:szCs w:val="24"/>
          <w:lang w:val="en-US" w:eastAsia="zh-CN" w:bidi="ar"/>
        </w:rPr>
        <w:t>燃料、发包人人员和工程设</w:t>
      </w:r>
      <w:r>
        <w:rPr>
          <w:rFonts w:hint="eastAsia" w:ascii="宋体" w:hAnsi="宋体" w:eastAsia="宋体" w:cs="宋体"/>
          <w:snapToGrid/>
          <w:color w:val="0000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备，发包人配合；</w:t>
      </w:r>
    </w:p>
    <w:p w14:paraId="7F371056">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（2）承包人应提供竣工后试验所需要的所有其他设</w:t>
      </w:r>
      <w:r>
        <w:rPr>
          <w:rFonts w:hint="eastAsia" w:ascii="宋体" w:hAnsi="宋体" w:eastAsia="宋体" w:cs="宋体"/>
          <w:snapToGrid/>
          <w:color w:val="000000"/>
          <w:spacing w:val="0"/>
          <w:kern w:val="0"/>
          <w:sz w:val="24"/>
          <w:szCs w:val="24"/>
          <w:lang w:val="en-US" w:eastAsia="zh-CN" w:bidi="ar"/>
        </w:rPr>
        <w:t>备、仪器，以及有资格和经</w:t>
      </w:r>
      <w:r>
        <w:rPr>
          <w:rFonts w:hint="eastAsia" w:ascii="宋体" w:hAnsi="宋体" w:eastAsia="宋体" w:cs="宋体"/>
          <w:snapToGrid/>
          <w:color w:val="0000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验的工作人员；</w:t>
      </w:r>
    </w:p>
    <w:p w14:paraId="78B97C80">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（3）承包人应在发包人在场的情况下，进行竣工后试验。发包人应提前21天将</w:t>
      </w:r>
      <w:r>
        <w:rPr>
          <w:rFonts w:hint="eastAsia" w:ascii="宋体" w:hAnsi="宋体" w:eastAsia="宋体" w:cs="宋体"/>
          <w:snapToGrid/>
          <w:color w:val="0000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竣工后试验的日期通知承包人。因承包人原因造成某项竣工后试验未能通过的，承包人应按照合同的约定进行赔偿，或者承包人提出修复建议，按照发包人指示的合理期限内改正，并承担合同约定的相应责任。</w:t>
      </w:r>
    </w:p>
    <w:p w14:paraId="7368139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竣工后试验所需的设备、工器具、电力以及燃料等均由承包人负责，发包人可予以配合，相关费用已包含在合同价款中。</w:t>
      </w:r>
    </w:p>
    <w:p w14:paraId="6CA25C4E">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19.  缺陷责任与保修责任</w:t>
      </w:r>
    </w:p>
    <w:p w14:paraId="615B9B6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19.1 缺陷责任期的起算时间</w:t>
      </w:r>
    </w:p>
    <w:p w14:paraId="053EAB69">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缺陷责任期的约定：</w:t>
      </w:r>
      <w:r>
        <w:rPr>
          <w:rFonts w:hint="eastAsia" w:ascii="宋体" w:hAnsi="宋体" w:eastAsia="宋体" w:cs="宋体"/>
          <w:snapToGrid/>
          <w:color w:val="000000"/>
          <w:spacing w:val="0"/>
          <w:kern w:val="0"/>
          <w:sz w:val="24"/>
          <w:szCs w:val="24"/>
          <w:u w:val="single"/>
          <w:lang w:val="en-US" w:eastAsia="zh-CN" w:bidi="ar"/>
        </w:rPr>
        <w:t>全部工程竣工验收合格后 2 年</w:t>
      </w:r>
      <w:r>
        <w:rPr>
          <w:rFonts w:hint="eastAsia" w:ascii="宋体" w:hAnsi="宋体" w:eastAsia="宋体" w:cs="宋体"/>
          <w:snapToGrid/>
          <w:color w:val="000000"/>
          <w:spacing w:val="0"/>
          <w:kern w:val="0"/>
          <w:sz w:val="24"/>
          <w:szCs w:val="24"/>
          <w:lang w:val="en-US" w:eastAsia="zh-CN" w:bidi="ar"/>
        </w:rPr>
        <w:t>。</w:t>
      </w:r>
    </w:p>
    <w:p w14:paraId="4B0BF779">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19.2 缺陷责任</w:t>
      </w:r>
    </w:p>
    <w:p w14:paraId="0F0990AA">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19.2.1 承包人应在缺陷责任期内对已交付使用的工程承担缺陷责任。</w:t>
      </w:r>
    </w:p>
    <w:p w14:paraId="50C6156A">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5BF8D3DC">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19.2.3</w:t>
      </w:r>
      <w:r>
        <w:rPr>
          <w:rFonts w:hint="eastAsia" w:ascii="宋体" w:hAnsi="宋体" w:eastAsia="宋体" w:cs="宋体"/>
          <w:snapToGrid/>
          <w:color w:val="000000"/>
          <w:spacing w:val="0"/>
          <w:w w:val="1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监理人和承包人应共同查清缺陷和（或）损坏的原因。经查明属承包人原因造成的，应由承包人承担修复和查验的费用。经查验属发包人原因造成的，发包人应承担修复和查验的费用。</w:t>
      </w:r>
    </w:p>
    <w:p w14:paraId="39C867E4">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19.2.4</w:t>
      </w:r>
      <w:r>
        <w:rPr>
          <w:rFonts w:hint="eastAsia" w:ascii="宋体" w:hAnsi="宋体" w:eastAsia="宋体" w:cs="宋体"/>
          <w:snapToGrid/>
          <w:color w:val="000000"/>
          <w:spacing w:val="0"/>
          <w:w w:val="1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承包人不能在合理时间内修复缺陷的，发包人可自行修复或委托其他人修复，所需费用和利润的承担，按第 19.2.3 项约定执行。</w:t>
      </w:r>
    </w:p>
    <w:p w14:paraId="77EB1001">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19.3</w:t>
      </w:r>
      <w:r>
        <w:rPr>
          <w:rFonts w:hint="eastAsia" w:ascii="黑体" w:hAnsi="宋体" w:eastAsia="黑体" w:cs="黑体"/>
          <w:snapToGrid/>
          <w:color w:val="000000"/>
          <w:spacing w:val="0"/>
          <w:w w:val="100"/>
          <w:kern w:val="0"/>
          <w:sz w:val="24"/>
          <w:szCs w:val="24"/>
          <w:lang w:val="en-US" w:eastAsia="zh-CN" w:bidi="ar"/>
        </w:rPr>
        <w:t xml:space="preserve"> </w:t>
      </w:r>
      <w:r>
        <w:rPr>
          <w:rFonts w:hint="eastAsia" w:ascii="黑体" w:hAnsi="宋体" w:eastAsia="黑体" w:cs="黑体"/>
          <w:snapToGrid/>
          <w:color w:val="000000"/>
          <w:spacing w:val="0"/>
          <w:kern w:val="0"/>
          <w:sz w:val="24"/>
          <w:szCs w:val="24"/>
          <w:lang w:val="en-US" w:eastAsia="zh-CN" w:bidi="ar"/>
        </w:rPr>
        <w:t>缺陷责任期的延长</w:t>
      </w:r>
    </w:p>
    <w:p w14:paraId="4D40B4A8">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由于承包人原因造成某项缺陷或损坏使某项工程或工程设备不能按原定目标使用而需要再次检查、检验和修复的，发包人有权要求承包人相应延长缺陷责任期，但缺陷责任期最长不超过 2 年。</w:t>
      </w:r>
    </w:p>
    <w:p w14:paraId="14F1F450">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19.4</w:t>
      </w:r>
      <w:r>
        <w:rPr>
          <w:rFonts w:hint="eastAsia" w:ascii="黑体" w:hAnsi="宋体" w:eastAsia="黑体" w:cs="黑体"/>
          <w:snapToGrid/>
          <w:color w:val="000000"/>
          <w:spacing w:val="0"/>
          <w:w w:val="100"/>
          <w:kern w:val="0"/>
          <w:sz w:val="24"/>
          <w:szCs w:val="24"/>
          <w:lang w:val="en-US" w:eastAsia="zh-CN" w:bidi="ar"/>
        </w:rPr>
        <w:t xml:space="preserve"> </w:t>
      </w:r>
      <w:r>
        <w:rPr>
          <w:rFonts w:hint="eastAsia" w:ascii="黑体" w:hAnsi="宋体" w:eastAsia="黑体" w:cs="黑体"/>
          <w:snapToGrid/>
          <w:color w:val="000000"/>
          <w:spacing w:val="0"/>
          <w:kern w:val="0"/>
          <w:sz w:val="24"/>
          <w:szCs w:val="24"/>
          <w:lang w:val="en-US" w:eastAsia="zh-CN" w:bidi="ar"/>
        </w:rPr>
        <w:t>进一步试验和试运行</w:t>
      </w:r>
    </w:p>
    <w:p w14:paraId="051E627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任何一项缺陷或损坏修复后，经检查证明其影响了工程或工程设备的使用性能，承包人应重新进行合同约定的试验和试运行，试验和试运行的全部费用应由责任方承担。</w:t>
      </w:r>
    </w:p>
    <w:p w14:paraId="4C6DD290">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19.5 承包人的进入权</w:t>
      </w:r>
    </w:p>
    <w:p w14:paraId="72509D9C">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缺陷责任期内承包人为缺陷修复工作需要，有权进入工程现场，但应遵守发包人的保安和保密规定。</w:t>
      </w:r>
    </w:p>
    <w:p w14:paraId="5BED6474">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19.6 缺陷责任期终止证书</w:t>
      </w:r>
    </w:p>
    <w:p w14:paraId="1CF8E9BE">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在第 1.1.4.5 目约定的缺陷责任期，包括根据第 19.3 款延长的期限终止后 14</w:t>
      </w:r>
      <w:r>
        <w:rPr>
          <w:rFonts w:hint="eastAsia" w:ascii="宋体" w:hAnsi="宋体" w:eastAsia="宋体" w:cs="宋体"/>
          <w:snapToGrid/>
          <w:color w:val="000000"/>
          <w:spacing w:val="0"/>
          <w:w w:val="1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天内，由监理人向承包人出具经发包人签认的缺陷责任期终止证书，并退还剩余的质量保证金。</w:t>
      </w:r>
    </w:p>
    <w:p w14:paraId="3C402F7C">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19.7 保修责任</w:t>
      </w:r>
    </w:p>
    <w:p w14:paraId="162B4068">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19.7.1 本工程保修期为</w:t>
      </w:r>
      <w:r>
        <w:rPr>
          <w:rFonts w:hint="eastAsia" w:ascii="宋体" w:hAnsi="宋体" w:eastAsia="宋体" w:cs="宋体"/>
          <w:snapToGrid/>
          <w:color w:val="000000"/>
          <w:kern w:val="0"/>
          <w:sz w:val="24"/>
          <w:szCs w:val="24"/>
          <w:u w:val="single"/>
          <w:lang w:val="en-US" w:eastAsia="zh-CN" w:bidi="ar"/>
        </w:rPr>
        <w:t xml:space="preserve"> 2 </w:t>
      </w:r>
      <w:r>
        <w:rPr>
          <w:rFonts w:hint="eastAsia" w:ascii="宋体" w:hAnsi="宋体" w:eastAsia="宋体" w:cs="宋体"/>
          <w:snapToGrid/>
          <w:color w:val="000000"/>
          <w:kern w:val="0"/>
          <w:sz w:val="24"/>
          <w:szCs w:val="24"/>
          <w:lang w:val="en-US" w:eastAsia="zh-CN" w:bidi="ar"/>
        </w:rPr>
        <w:t xml:space="preserve">年；建设工程在保修范围和保修期限内发生质量问 </w:t>
      </w:r>
      <w:r>
        <w:rPr>
          <w:rFonts w:hint="eastAsia" w:ascii="宋体" w:hAnsi="宋体" w:eastAsia="宋体" w:cs="宋体"/>
          <w:snapToGrid/>
          <w:color w:val="000000"/>
          <w:spacing w:val="0"/>
          <w:kern w:val="0"/>
          <w:sz w:val="24"/>
          <w:szCs w:val="24"/>
          <w:lang w:val="en-US" w:eastAsia="zh-CN" w:bidi="ar"/>
        </w:rPr>
        <w:t>题的，承包人应当履行保修义务，并对造成的损失承担赔偿责任。</w:t>
      </w:r>
    </w:p>
    <w:p w14:paraId="72C4C86F">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19.7.2 本工程的设备及装置性材料质量保证期及保修责任</w:t>
      </w:r>
    </w:p>
    <w:p w14:paraId="74354AF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（1）设备的质量保证期为</w:t>
      </w:r>
      <w:r>
        <w:rPr>
          <w:rFonts w:hint="eastAsia" w:ascii="宋体" w:hAnsi="宋体" w:eastAsia="宋体" w:cs="宋体"/>
          <w:snapToGrid/>
          <w:color w:val="000000"/>
          <w:kern w:val="0"/>
          <w:sz w:val="24"/>
          <w:szCs w:val="24"/>
          <w:u w:val="single"/>
          <w:lang w:val="en-US" w:eastAsia="zh-CN" w:bidi="ar"/>
        </w:rPr>
        <w:t xml:space="preserve"> 2 </w:t>
      </w:r>
      <w:r>
        <w:rPr>
          <w:rFonts w:hint="eastAsia" w:ascii="宋体" w:hAnsi="宋体" w:eastAsia="宋体" w:cs="宋体"/>
          <w:snapToGrid/>
          <w:color w:val="000000"/>
          <w:kern w:val="0"/>
          <w:sz w:val="24"/>
          <w:szCs w:val="24"/>
          <w:lang w:val="en-US" w:eastAsia="zh-CN" w:bidi="ar"/>
        </w:rPr>
        <w:t>年。</w:t>
      </w:r>
    </w:p>
    <w:p w14:paraId="20CBFE6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（2）设备及装置性材料质量保证期自竣工验收合格之日起计算。</w:t>
      </w:r>
    </w:p>
    <w:p w14:paraId="40D6D14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20.  保险</w:t>
      </w:r>
    </w:p>
    <w:p w14:paraId="7AA1CE02">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20.1 工程保险</w:t>
      </w:r>
    </w:p>
    <w:p w14:paraId="369ADDCD">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kern w:val="0"/>
          <w:sz w:val="24"/>
          <w:szCs w:val="24"/>
        </w:rPr>
      </w:pPr>
      <w:r>
        <w:rPr>
          <w:rFonts w:hint="eastAsia" w:ascii="宋体" w:hAnsi="宋体" w:eastAsia="宋体" w:cs="宋体"/>
          <w:snapToGrid/>
          <w:color w:val="000000"/>
          <w:kern w:val="0"/>
          <w:sz w:val="24"/>
          <w:szCs w:val="24"/>
          <w:lang w:val="en-US" w:eastAsia="zh-CN" w:bidi="ar"/>
        </w:rPr>
        <w:t>关于工程保险的特别约定：</w:t>
      </w:r>
      <w:r>
        <w:rPr>
          <w:rFonts w:hint="eastAsia" w:ascii="宋体" w:hAnsi="宋体" w:eastAsia="宋体" w:cs="宋体"/>
          <w:snapToGrid/>
          <w:color w:val="000000"/>
          <w:kern w:val="0"/>
          <w:sz w:val="24"/>
          <w:szCs w:val="24"/>
          <w:u w:val="single"/>
          <w:lang w:val="en-US" w:eastAsia="zh-CN" w:bidi="ar"/>
        </w:rPr>
        <w:t>安全生产责任保险，由承包人足额及时缴纳</w:t>
      </w:r>
      <w:r>
        <w:rPr>
          <w:rFonts w:hint="eastAsia" w:ascii="宋体" w:hAnsi="宋体" w:eastAsia="宋体" w:cs="宋体"/>
          <w:snapToGrid/>
          <w:color w:val="000000"/>
          <w:kern w:val="0"/>
          <w:sz w:val="24"/>
          <w:szCs w:val="24"/>
          <w:lang w:val="en-US" w:eastAsia="zh-CN" w:bidi="ar"/>
        </w:rPr>
        <w:t>。</w:t>
      </w:r>
    </w:p>
    <w:p w14:paraId="2BB7223C">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20.2 其他保险</w:t>
      </w:r>
    </w:p>
    <w:p w14:paraId="72A7E719">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（1）承包人应投保发运合同设备价格100%的运输一切险，保险区段为供应商仓库到现场交货止；</w:t>
      </w:r>
    </w:p>
    <w:p w14:paraId="3F41DC7A">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（2）承包人应投保建筑工程团体意外险，并包括承</w:t>
      </w:r>
      <w:r>
        <w:rPr>
          <w:rFonts w:hint="eastAsia" w:ascii="宋体" w:hAnsi="宋体" w:eastAsia="宋体" w:cs="宋体"/>
          <w:snapToGrid/>
          <w:color w:val="000000"/>
          <w:spacing w:val="0"/>
          <w:kern w:val="0"/>
          <w:sz w:val="24"/>
          <w:szCs w:val="24"/>
          <w:lang w:val="en-US" w:eastAsia="zh-CN" w:bidi="ar"/>
        </w:rPr>
        <w:t>包人及其分包人在施工现场</w:t>
      </w:r>
      <w:r>
        <w:rPr>
          <w:rFonts w:hint="eastAsia" w:ascii="宋体" w:hAnsi="宋体" w:eastAsia="宋体" w:cs="宋体"/>
          <w:snapToGrid/>
          <w:color w:val="0000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的全部人员；</w:t>
      </w:r>
      <w:r>
        <w:rPr>
          <w:rFonts w:hint="default" w:ascii="Arial" w:hAnsi="Arial" w:cs="Arial"/>
          <w:snapToGrid/>
          <w:color w:val="000000"/>
          <w:kern w:val="0"/>
          <w:sz w:val="21"/>
          <w:szCs w:val="21"/>
          <w:lang w:val="en-US" w:eastAsia="zh-CN" w:bidi="ar"/>
        </w:rPr>
        <w:drawing>
          <wp:inline distT="0" distB="0" distL="114300" distR="114300">
            <wp:extent cx="28575" cy="28575"/>
            <wp:effectExtent l="0" t="0" r="9525" b="9525"/>
            <wp:docPr id="11" name="图片 8"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IMG_258"/>
                    <pic:cNvPicPr>
                      <a:picLocks noChangeAspect="1"/>
                    </pic:cNvPicPr>
                  </pic:nvPicPr>
                  <pic:blipFill>
                    <a:blip r:embed="rId11"/>
                    <a:stretch>
                      <a:fillRect/>
                    </a:stretch>
                  </pic:blipFill>
                  <pic:spPr>
                    <a:xfrm>
                      <a:off x="0" y="0"/>
                      <a:ext cx="28575" cy="28575"/>
                    </a:xfrm>
                    <a:prstGeom prst="rect">
                      <a:avLst/>
                    </a:prstGeom>
                    <a:noFill/>
                    <a:ln w="9525">
                      <a:noFill/>
                    </a:ln>
                  </pic:spPr>
                </pic:pic>
              </a:graphicData>
            </a:graphic>
          </wp:inline>
        </w:drawing>
      </w:r>
    </w:p>
    <w:p w14:paraId="5C44C2C3">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（3）承包人应对进场的挖机、车辆以及吊车等大型施工设备购买全额保险；</w:t>
      </w:r>
    </w:p>
    <w:p w14:paraId="05AD60F9">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（4）相关保险费分摊列入有关工程项目或单价内，</w:t>
      </w:r>
      <w:r>
        <w:rPr>
          <w:rFonts w:hint="eastAsia" w:ascii="宋体" w:hAnsi="宋体" w:eastAsia="宋体" w:cs="宋体"/>
          <w:snapToGrid/>
          <w:color w:val="000000"/>
          <w:spacing w:val="0"/>
          <w:kern w:val="0"/>
          <w:sz w:val="24"/>
          <w:szCs w:val="24"/>
          <w:lang w:val="en-US" w:eastAsia="zh-CN" w:bidi="ar"/>
        </w:rPr>
        <w:t>保险金不足以补偿损失或未</w:t>
      </w:r>
      <w:r>
        <w:rPr>
          <w:rFonts w:hint="eastAsia" w:ascii="宋体" w:hAnsi="宋体" w:eastAsia="宋体" w:cs="宋体"/>
          <w:snapToGrid/>
          <w:color w:val="000000"/>
          <w:kern w:val="0"/>
          <w:sz w:val="24"/>
          <w:szCs w:val="24"/>
          <w:lang w:val="en-US" w:eastAsia="zh-CN" w:bidi="ar"/>
        </w:rPr>
        <w:t xml:space="preserve"> </w:t>
      </w:r>
      <w:r>
        <w:rPr>
          <w:rFonts w:hint="eastAsia" w:ascii="宋体" w:hAnsi="宋体" w:eastAsia="宋体" w:cs="宋体"/>
          <w:snapToGrid/>
          <w:color w:val="000000"/>
          <w:spacing w:val="0"/>
          <w:kern w:val="0"/>
          <w:sz w:val="24"/>
          <w:szCs w:val="24"/>
          <w:lang w:val="en-US" w:eastAsia="zh-CN" w:bidi="ar"/>
        </w:rPr>
        <w:t>办理保险造成的损失，由承包人自行承担，发包人不另行支付。</w:t>
      </w:r>
    </w:p>
    <w:p w14:paraId="756550D3">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20.3 对各项保险的一般要求</w:t>
      </w:r>
    </w:p>
    <w:p w14:paraId="63D70D40">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20.3.1  保险凭证</w:t>
      </w:r>
    </w:p>
    <w:p w14:paraId="05A09F4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承包人向发包人提交保险生效的证据和保险单复印件的种类：</w:t>
      </w:r>
      <w:r>
        <w:rPr>
          <w:rFonts w:hint="eastAsia" w:ascii="宋体" w:hAnsi="宋体" w:eastAsia="宋体" w:cs="宋体"/>
          <w:snapToGrid/>
          <w:color w:val="000000"/>
          <w:spacing w:val="0"/>
          <w:kern w:val="0"/>
          <w:sz w:val="24"/>
          <w:szCs w:val="24"/>
          <w:u w:val="single"/>
          <w:lang w:val="en-US" w:eastAsia="zh-CN" w:bidi="ar"/>
        </w:rPr>
        <w:t>承包人应向发包人</w:t>
      </w:r>
      <w:r>
        <w:rPr>
          <w:rFonts w:hint="eastAsia" w:ascii="宋体" w:hAnsi="宋体" w:eastAsia="宋体" w:cs="宋体"/>
          <w:snapToGrid/>
          <w:color w:val="000000"/>
          <w:kern w:val="0"/>
          <w:sz w:val="24"/>
          <w:szCs w:val="24"/>
          <w:u w:val="single"/>
          <w:lang w:val="en-US" w:eastAsia="zh-CN" w:bidi="ar"/>
        </w:rPr>
        <w:t>提供本合同约定的保险单据复印件，并且确保这些</w:t>
      </w:r>
      <w:r>
        <w:rPr>
          <w:rFonts w:hint="eastAsia" w:ascii="宋体" w:hAnsi="宋体" w:eastAsia="宋体" w:cs="宋体"/>
          <w:snapToGrid/>
          <w:color w:val="000000"/>
          <w:spacing w:val="0"/>
          <w:kern w:val="0"/>
          <w:sz w:val="24"/>
          <w:szCs w:val="24"/>
          <w:u w:val="single"/>
          <w:lang w:val="en-US" w:eastAsia="zh-CN" w:bidi="ar"/>
        </w:rPr>
        <w:t>保险符合相应的法律规定</w:t>
      </w:r>
      <w:r>
        <w:rPr>
          <w:rFonts w:hint="eastAsia" w:ascii="宋体" w:hAnsi="宋体" w:eastAsia="宋体" w:cs="宋体"/>
          <w:snapToGrid/>
          <w:color w:val="000000"/>
          <w:spacing w:val="0"/>
          <w:kern w:val="0"/>
          <w:sz w:val="24"/>
          <w:szCs w:val="24"/>
          <w:lang w:val="en-US" w:eastAsia="zh-CN" w:bidi="ar"/>
        </w:rPr>
        <w:t>。</w:t>
      </w:r>
    </w:p>
    <w:p w14:paraId="51BD453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承包人向发包人提交各项保险生效的证据和保险单复印件的期限：</w:t>
      </w:r>
      <w:r>
        <w:rPr>
          <w:rFonts w:hint="eastAsia" w:ascii="宋体" w:hAnsi="宋体" w:eastAsia="宋体" w:cs="宋体"/>
          <w:snapToGrid/>
          <w:color w:val="000000"/>
          <w:spacing w:val="0"/>
          <w:kern w:val="0"/>
          <w:sz w:val="24"/>
          <w:szCs w:val="24"/>
          <w:u w:val="single"/>
          <w:lang w:val="en-US" w:eastAsia="zh-CN" w:bidi="ar"/>
        </w:rPr>
        <w:t>合同生效后一个月内</w:t>
      </w:r>
      <w:r>
        <w:rPr>
          <w:rFonts w:hint="eastAsia" w:ascii="宋体" w:hAnsi="宋体" w:eastAsia="宋体" w:cs="宋体"/>
          <w:snapToGrid/>
          <w:color w:val="000000"/>
          <w:spacing w:val="0"/>
          <w:kern w:val="0"/>
          <w:sz w:val="24"/>
          <w:szCs w:val="24"/>
          <w:lang w:val="en-US" w:eastAsia="zh-CN" w:bidi="ar"/>
        </w:rPr>
        <w:t>。</w:t>
      </w:r>
    </w:p>
    <w:p w14:paraId="0840C89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22.  违约</w:t>
      </w:r>
    </w:p>
    <w:p w14:paraId="1DD4AE7E">
      <w:pPr>
        <w:pStyle w:val="19"/>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22.1.1 承包人违约的情形</w:t>
      </w:r>
    </w:p>
    <w:p w14:paraId="1BC74F1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1、人员违约责任约定：</w:t>
      </w:r>
    </w:p>
    <w:p w14:paraId="039B76B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①承包人在投标文件中承诺的本工程项目经理及相应的主要专业技术、管理人员不得随意调换，并确保按时到位，如遇特殊情况需更换时，承包人须先向发包人推荐符合规定的项目经理或相应的技术、管理人员人选，应书面征得发包人的同意，且更换后的人员必须为不低于前任资历（资格、经历）的人员。否则由承包人承担一定的惩罚性违约责任（擅自调换项目经理的承担30万元/人次的违约责任，擅自调换项目副经理和项目技术负责人、安全负责人的均承担人民币10万元/人次的违约责任）</w:t>
      </w:r>
      <w:r>
        <w:rPr>
          <w:rFonts w:hint="eastAsia" w:ascii="宋体" w:hAnsi="宋体" w:eastAsia="宋体" w:cs="宋体"/>
          <w:snapToGrid/>
          <w:color w:val="000000"/>
          <w:kern w:val="0"/>
          <w:sz w:val="24"/>
          <w:szCs w:val="24"/>
          <w:lang w:val="en-US" w:eastAsia="zh-CN" w:bidi="ar"/>
        </w:rPr>
        <w:t>。</w:t>
      </w:r>
    </w:p>
    <w:p w14:paraId="041AB449">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②项目经理、项目副经理及项目技术负责人作为现场项目班子的核心成员在本项目施工期间（包括准备和收尾阶段）均须专职在岗，常驻工地，确保每周在现场时间不少于5个整日，否则对项目经理情形的，承包人按5000元/天承担惩罚性违约责任；对项目副经理及技术负责人情形的，承包人按3000元/天承担惩罚性违约责任。项目经理必须带领本项目技术人员参加每周工程例会等发包人召开的各种会议，因故不能参加时应提前24小时向发包人提出申请并获得发包人批准后方可缺席</w:t>
      </w:r>
      <w:r>
        <w:rPr>
          <w:rFonts w:hint="eastAsia" w:ascii="宋体" w:hAnsi="宋体" w:eastAsia="宋体" w:cs="宋体"/>
          <w:snapToGrid/>
          <w:color w:val="000000"/>
          <w:kern w:val="0"/>
          <w:sz w:val="24"/>
          <w:szCs w:val="24"/>
          <w:lang w:val="en-US" w:eastAsia="zh-CN" w:bidi="ar"/>
        </w:rPr>
        <w:t>。</w:t>
      </w:r>
    </w:p>
    <w:p w14:paraId="17A1DBAE">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③如发包人认为本工程项目经理或者现场专业技术人员、管理人员不称职，可要求承包人更换，承包人应在三天内另派不低于前任资力（资格、经历）的人员接替工作，且承包人不得要求由于更换项目经理引起的工期顺延</w:t>
      </w:r>
      <w:r>
        <w:rPr>
          <w:rFonts w:hint="eastAsia" w:ascii="宋体" w:hAnsi="宋体" w:eastAsia="宋体" w:cs="宋体"/>
          <w:snapToGrid/>
          <w:color w:val="000000"/>
          <w:kern w:val="0"/>
          <w:sz w:val="24"/>
          <w:szCs w:val="24"/>
          <w:lang w:val="en-US" w:eastAsia="zh-CN" w:bidi="ar"/>
        </w:rPr>
        <w:t>。</w:t>
      </w:r>
    </w:p>
    <w:p w14:paraId="5C2A80C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2、安全违约责任约定：</w:t>
      </w:r>
    </w:p>
    <w:p w14:paraId="437CCF6C">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①施工期间确保工程施工过程中安全质量事故为零、火灾事故为零、刑事案件为零。若发生安全事故，按通用条款第6.1.9.2条处罚；发生火灾事故承包人按每次100000元承担惩罚性违约责任；发生刑事案件，承包人按每次300000元承担惩罚性违约责任。同时承包人承担由此导致的一切经济和法律责任</w:t>
      </w:r>
      <w:r>
        <w:rPr>
          <w:rFonts w:hint="eastAsia" w:ascii="宋体" w:hAnsi="宋体" w:eastAsia="宋体" w:cs="宋体"/>
          <w:snapToGrid/>
          <w:color w:val="000000"/>
          <w:kern w:val="0"/>
          <w:sz w:val="24"/>
          <w:szCs w:val="24"/>
          <w:lang w:val="en-US" w:eastAsia="zh-CN" w:bidi="ar"/>
        </w:rPr>
        <w:t>。</w:t>
      </w:r>
    </w:p>
    <w:p w14:paraId="566A9110">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②施工期间由于承包人原因造成安全事故而导致停工的，发包人另外要求承包人承担50000元/天的惩罚性违约责任</w:t>
      </w:r>
      <w:r>
        <w:rPr>
          <w:rFonts w:hint="eastAsia" w:ascii="宋体" w:hAnsi="宋体" w:eastAsia="宋体" w:cs="宋体"/>
          <w:snapToGrid/>
          <w:color w:val="000000"/>
          <w:kern w:val="0"/>
          <w:sz w:val="24"/>
          <w:szCs w:val="24"/>
          <w:lang w:val="en-US" w:eastAsia="zh-CN" w:bidi="ar"/>
        </w:rPr>
        <w:t>。</w:t>
      </w:r>
    </w:p>
    <w:p w14:paraId="21C6620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③施工期间由于承包人违反安全操作规范，被政府有关部门处罚，如通报批评、警告和罚款等，发包人将酌情要求承包人承担1000元/次～10000元／次的惩罚性违约责任</w:t>
      </w:r>
      <w:r>
        <w:rPr>
          <w:rFonts w:hint="eastAsia" w:ascii="宋体" w:hAnsi="宋体" w:eastAsia="宋体" w:cs="宋体"/>
          <w:snapToGrid/>
          <w:color w:val="000000"/>
          <w:kern w:val="0"/>
          <w:sz w:val="24"/>
          <w:szCs w:val="24"/>
          <w:lang w:val="en-US" w:eastAsia="zh-CN" w:bidi="ar"/>
        </w:rPr>
        <w:t>。</w:t>
      </w:r>
    </w:p>
    <w:p w14:paraId="4F57B02F">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④发包人或监理人有权对承包人的违章现象提出整改，承包人接书面整改通知后24小时内未采取相应整改措施，每次承担违约金500元。累计3次罚款后，第四次开始每次承担违约金1000元</w:t>
      </w:r>
      <w:r>
        <w:rPr>
          <w:rFonts w:hint="eastAsia" w:ascii="宋体" w:hAnsi="宋体" w:eastAsia="宋体" w:cs="宋体"/>
          <w:snapToGrid/>
          <w:color w:val="000000"/>
          <w:kern w:val="0"/>
          <w:sz w:val="24"/>
          <w:szCs w:val="24"/>
          <w:lang w:val="en-US" w:eastAsia="zh-CN" w:bidi="ar"/>
        </w:rPr>
        <w:t>。</w:t>
      </w:r>
    </w:p>
    <w:p w14:paraId="2B40CACA">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⑤必须由承包人组织，每月进行一次施工安全检查及安全教育，3天内以书面形式向监理人汇报</w:t>
      </w:r>
      <w:r>
        <w:rPr>
          <w:rFonts w:hint="eastAsia" w:ascii="宋体" w:hAnsi="宋体" w:eastAsia="宋体" w:cs="宋体"/>
          <w:snapToGrid/>
          <w:color w:val="000000"/>
          <w:kern w:val="0"/>
          <w:sz w:val="24"/>
          <w:szCs w:val="24"/>
          <w:lang w:val="en-US" w:eastAsia="zh-CN" w:bidi="ar"/>
        </w:rPr>
        <w:t>。</w:t>
      </w:r>
    </w:p>
    <w:p w14:paraId="221F384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⑥针对不同的分部分项工程，承包人在开工前必须进行安全技术交底（必须有监理人参加），并以书面形式向监理人汇报，经监理人认同后方可开工</w:t>
      </w:r>
      <w:r>
        <w:rPr>
          <w:rFonts w:hint="eastAsia" w:ascii="宋体" w:hAnsi="宋体" w:eastAsia="宋体" w:cs="宋体"/>
          <w:snapToGrid/>
          <w:color w:val="000000"/>
          <w:kern w:val="0"/>
          <w:sz w:val="24"/>
          <w:szCs w:val="24"/>
          <w:lang w:val="en-US" w:eastAsia="zh-CN" w:bidi="ar"/>
        </w:rPr>
        <w:t>。</w:t>
      </w:r>
    </w:p>
    <w:p w14:paraId="5B029112">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⑦施工期间由于承包人管理原因导致集体食物中毒、传染病、民工上访闹事以及重大偷盗事件（直接损失10000元以上），发包人有权要求承包人承担50000元-100000元/次的惩罚性违约责任</w:t>
      </w:r>
      <w:r>
        <w:rPr>
          <w:rFonts w:hint="eastAsia" w:ascii="宋体" w:hAnsi="宋体" w:eastAsia="宋体" w:cs="宋体"/>
          <w:snapToGrid/>
          <w:color w:val="000000"/>
          <w:kern w:val="0"/>
          <w:sz w:val="24"/>
          <w:szCs w:val="24"/>
          <w:lang w:val="en-US" w:eastAsia="zh-CN" w:bidi="ar"/>
        </w:rPr>
        <w:t>。</w:t>
      </w:r>
    </w:p>
    <w:p w14:paraId="7E7CA2D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⑧本合同工程发生安全事故，除由承包人承担赔偿责任外，承包人还将按以下条款向发包人支付惩罚性违约金：</w:t>
      </w:r>
    </w:p>
    <w:p w14:paraId="2393D060">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(1)发生一次一般安全事故的，承担20,000元的违约金</w:t>
      </w:r>
      <w:r>
        <w:rPr>
          <w:rFonts w:hint="eastAsia" w:ascii="宋体" w:hAnsi="宋体" w:eastAsia="宋体" w:cs="宋体"/>
          <w:snapToGrid/>
          <w:color w:val="000000"/>
          <w:kern w:val="0"/>
          <w:sz w:val="24"/>
          <w:szCs w:val="24"/>
          <w:lang w:val="en-US" w:eastAsia="zh-CN" w:bidi="ar"/>
        </w:rPr>
        <w:t>；</w:t>
      </w:r>
    </w:p>
    <w:p w14:paraId="1DB36E9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(2)发生一次三级以下（含三级）重大安全事故的，承担100,000元的违约金</w:t>
      </w:r>
      <w:r>
        <w:rPr>
          <w:rFonts w:hint="eastAsia" w:ascii="宋体" w:hAnsi="宋体" w:eastAsia="宋体" w:cs="宋体"/>
          <w:snapToGrid/>
          <w:color w:val="000000"/>
          <w:kern w:val="0"/>
          <w:sz w:val="24"/>
          <w:szCs w:val="24"/>
          <w:lang w:val="en-US" w:eastAsia="zh-CN" w:bidi="ar"/>
        </w:rPr>
        <w:t>；</w:t>
      </w:r>
    </w:p>
    <w:p w14:paraId="37547D89">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(3)发生一次二级以上（含二级）重大安全事故的，承担500,000元的违约金</w:t>
      </w:r>
      <w:r>
        <w:rPr>
          <w:rFonts w:hint="eastAsia" w:ascii="宋体" w:hAnsi="宋体" w:eastAsia="宋体" w:cs="宋体"/>
          <w:snapToGrid/>
          <w:color w:val="000000"/>
          <w:kern w:val="0"/>
          <w:sz w:val="24"/>
          <w:szCs w:val="24"/>
          <w:lang w:val="en-US" w:eastAsia="zh-CN" w:bidi="ar"/>
        </w:rPr>
        <w:t>；</w:t>
      </w:r>
    </w:p>
    <w:p w14:paraId="324E8B8E">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(4)发生两次三级以下（含三级）重大安全事故的，按前条规定的一次二级以上（含二级）重大安全事故处理</w:t>
      </w:r>
      <w:r>
        <w:rPr>
          <w:rFonts w:hint="eastAsia" w:ascii="宋体" w:hAnsi="宋体" w:eastAsia="宋体" w:cs="宋体"/>
          <w:snapToGrid/>
          <w:color w:val="000000"/>
          <w:kern w:val="0"/>
          <w:sz w:val="24"/>
          <w:szCs w:val="24"/>
          <w:lang w:val="en-US" w:eastAsia="zh-CN" w:bidi="ar"/>
        </w:rPr>
        <w:t>。</w:t>
      </w:r>
    </w:p>
    <w:p w14:paraId="25E0100E">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安全事故以政府相关职能部门认定为准</w:t>
      </w:r>
      <w:r>
        <w:rPr>
          <w:rFonts w:hint="eastAsia" w:ascii="宋体" w:hAnsi="宋体" w:eastAsia="宋体" w:cs="宋体"/>
          <w:snapToGrid/>
          <w:color w:val="000000"/>
          <w:kern w:val="0"/>
          <w:sz w:val="24"/>
          <w:szCs w:val="24"/>
          <w:lang w:val="en-US" w:eastAsia="zh-CN" w:bidi="ar"/>
        </w:rPr>
        <w:t>。</w:t>
      </w:r>
    </w:p>
    <w:p w14:paraId="15DC7D5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3、质量违约责任约定：</w:t>
      </w:r>
    </w:p>
    <w:p w14:paraId="6942124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①承包人在施工过程中，未按设计图纸要求或发包人（监理人）的要求进行施工，每发现一次，按10000元/次要求承包人承担惩罚性违约责任；如果承包人在施工过程施工不合格，每发现一处，按10000元/处要求承包人承担惩罚性违约责任</w:t>
      </w:r>
      <w:r>
        <w:rPr>
          <w:rFonts w:hint="eastAsia" w:ascii="宋体" w:hAnsi="宋体" w:eastAsia="宋体" w:cs="宋体"/>
          <w:snapToGrid/>
          <w:color w:val="000000"/>
          <w:kern w:val="0"/>
          <w:sz w:val="24"/>
          <w:szCs w:val="24"/>
          <w:lang w:val="en-US" w:eastAsia="zh-CN" w:bidi="ar"/>
        </w:rPr>
        <w:t>。</w:t>
      </w:r>
    </w:p>
    <w:p w14:paraId="164EAAAD">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②对工程造价有影响的隐蔽工程必须经发包人成本管理部工程师和财评中心工程师参与验收，对未通知参与验收确认的项目不予结算。对未按施工图或设计变更及规范要求施工、偷工减料的部分除要求承包人整改外，承包人还应向发包人支付10000元/次的惩罚性违约金。对无法整改的又不影响工程质量的未按图施工或设计变更施工、偷工减料的隐蔽工程，承包人除向发包人支付RMB50000元/次的惩罚性违约金外，所有相同已隐蔽部分按被抽查到的情况办理结算</w:t>
      </w:r>
      <w:r>
        <w:rPr>
          <w:rFonts w:hint="eastAsia" w:ascii="宋体" w:hAnsi="宋体" w:eastAsia="宋体" w:cs="宋体"/>
          <w:snapToGrid/>
          <w:color w:val="000000"/>
          <w:kern w:val="0"/>
          <w:sz w:val="24"/>
          <w:szCs w:val="24"/>
          <w:lang w:val="en-US" w:eastAsia="zh-CN" w:bidi="ar"/>
        </w:rPr>
        <w:t>。</w:t>
      </w:r>
    </w:p>
    <w:p w14:paraId="0BDCBE21">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③承包人采购的使用在本工程的材料经监理人、发包人发现并检验证实是以次充好，除已使用部分应立即拆除重新施工，已进场的该项材料予以全部退场并由承包人自行承担其损失外，承包人还须向发包人支付惩罚性违约金5000元/次</w:t>
      </w:r>
      <w:r>
        <w:rPr>
          <w:rFonts w:hint="eastAsia" w:ascii="宋体" w:hAnsi="宋体" w:eastAsia="宋体" w:cs="宋体"/>
          <w:snapToGrid/>
          <w:color w:val="000000"/>
          <w:kern w:val="0"/>
          <w:sz w:val="24"/>
          <w:szCs w:val="24"/>
          <w:lang w:val="en-US" w:eastAsia="zh-CN" w:bidi="ar"/>
        </w:rPr>
        <w:t>。</w:t>
      </w:r>
    </w:p>
    <w:p w14:paraId="16BEF0FF">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④发包人和监理人有权对承包人在施工过程中出现的质量问题要求承包人承担5000-10000元/次的惩罚性违约责任，但是质量处罚方面的累计处罚额，在项目竣工验收合格的情况下不超过工程总造价的1%。在项目竣工验收不合格的情况下，则按对发包人造成的损失由承包人承担违约责任</w:t>
      </w:r>
      <w:r>
        <w:rPr>
          <w:rFonts w:hint="eastAsia" w:ascii="宋体" w:hAnsi="宋体" w:eastAsia="宋体" w:cs="宋体"/>
          <w:snapToGrid/>
          <w:color w:val="000000"/>
          <w:kern w:val="0"/>
          <w:sz w:val="24"/>
          <w:szCs w:val="24"/>
          <w:lang w:val="en-US" w:eastAsia="zh-CN" w:bidi="ar"/>
        </w:rPr>
        <w:t>。</w:t>
      </w:r>
    </w:p>
    <w:p w14:paraId="01196AD1">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4、其他违约责任约定</w:t>
      </w:r>
      <w:r>
        <w:rPr>
          <w:rFonts w:hint="eastAsia" w:ascii="宋体" w:hAnsi="宋体" w:eastAsia="宋体" w:cs="宋体"/>
          <w:snapToGrid/>
          <w:color w:val="000000"/>
          <w:kern w:val="0"/>
          <w:sz w:val="24"/>
          <w:szCs w:val="24"/>
          <w:lang w:val="en-US" w:eastAsia="zh-CN" w:bidi="ar"/>
        </w:rPr>
        <w:t>：</w:t>
      </w:r>
    </w:p>
    <w:p w14:paraId="4150333E">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①承包人不得擅自变更工程的设计，如因擅自变更而影响成本的增加，造成损失由承包人承担，出现质量问题由承包人负责；另外对此类问题，发包人在承包人已修复合格的基础上，还可以要求承包人承担100000元/处的违约责任</w:t>
      </w:r>
      <w:r>
        <w:rPr>
          <w:rFonts w:hint="eastAsia" w:ascii="宋体" w:hAnsi="宋体" w:eastAsia="宋体" w:cs="宋体"/>
          <w:snapToGrid/>
          <w:color w:val="000000"/>
          <w:kern w:val="0"/>
          <w:sz w:val="24"/>
          <w:szCs w:val="24"/>
          <w:lang w:val="en-US" w:eastAsia="zh-CN" w:bidi="ar"/>
        </w:rPr>
        <w:t>。</w:t>
      </w:r>
    </w:p>
    <w:p w14:paraId="482D8D5C">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②由于承包人原因致使工程开工日期延迟、竣工日期延迟、中途停建或缓建、施工组织设计文件中关键线路工期延误等情况超过21天的，发包人有权解除合同，并对承包人实行先清退后结算的方式。对承包人已施工部分按发包人认可的已完合格工程造价的60%结清，承包人并应承担发包人的一切损失</w:t>
      </w:r>
      <w:r>
        <w:rPr>
          <w:rFonts w:hint="eastAsia" w:ascii="宋体" w:hAnsi="宋体" w:eastAsia="宋体" w:cs="宋体"/>
          <w:snapToGrid/>
          <w:color w:val="000000"/>
          <w:kern w:val="0"/>
          <w:sz w:val="24"/>
          <w:szCs w:val="24"/>
          <w:lang w:val="en-US" w:eastAsia="zh-CN" w:bidi="ar"/>
        </w:rPr>
        <w:t>。</w:t>
      </w:r>
    </w:p>
    <w:p w14:paraId="572B144F">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③本合同承包工程不得挂靠、转包，挂靠、转包将视同根本违约，发包人将有权解除合同，并对承包人采用先清退后结算的方式，对承包人已施工部分，按发包人认可的已完合格工程造价的60%结清，承包人并应承担发包人的一切损失</w:t>
      </w:r>
      <w:r>
        <w:rPr>
          <w:rFonts w:hint="eastAsia" w:ascii="宋体" w:hAnsi="宋体" w:eastAsia="宋体" w:cs="宋体"/>
          <w:snapToGrid/>
          <w:color w:val="000000"/>
          <w:kern w:val="0"/>
          <w:sz w:val="24"/>
          <w:szCs w:val="24"/>
          <w:lang w:val="en-US" w:eastAsia="zh-CN" w:bidi="ar"/>
        </w:rPr>
        <w:t>。</w:t>
      </w:r>
    </w:p>
    <w:p w14:paraId="12C2C46B">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④承包人中途退场或中途解除合同，或因承包人违约及其自身原因导致本合同无法履行，造成发包人解除合同，发包人将对承包人采用先清退后结算的方式，对承包人已施工部分，按发包人认可的已完合格工程造价的60%结清，承包人并应承担发包人的一切损失</w:t>
      </w:r>
      <w:r>
        <w:rPr>
          <w:rFonts w:hint="eastAsia" w:ascii="宋体" w:hAnsi="宋体" w:eastAsia="宋体" w:cs="宋体"/>
          <w:snapToGrid/>
          <w:color w:val="000000"/>
          <w:kern w:val="0"/>
          <w:sz w:val="24"/>
          <w:szCs w:val="24"/>
          <w:lang w:val="en-US" w:eastAsia="zh-CN" w:bidi="ar"/>
        </w:rPr>
        <w:t>。</w:t>
      </w:r>
    </w:p>
    <w:p w14:paraId="1B39A553">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⑤合同、招标文件约定的其他违约责任</w:t>
      </w:r>
      <w:r>
        <w:rPr>
          <w:rFonts w:hint="eastAsia" w:ascii="宋体" w:hAnsi="宋体" w:eastAsia="宋体" w:cs="宋体"/>
          <w:snapToGrid/>
          <w:color w:val="000000"/>
          <w:kern w:val="0"/>
          <w:sz w:val="24"/>
          <w:szCs w:val="24"/>
          <w:lang w:val="en-US" w:eastAsia="zh-CN" w:bidi="ar"/>
        </w:rPr>
        <w:t>。</w:t>
      </w:r>
    </w:p>
    <w:p w14:paraId="7E3ED03B">
      <w:pPr>
        <w:keepNext w:val="0"/>
        <w:keepLines w:val="0"/>
        <w:widowControl/>
        <w:numPr>
          <w:ilvl w:val="0"/>
          <w:numId w:val="2"/>
        </w:numPr>
        <w:suppressLineNumbers w:val="0"/>
        <w:kinsoku w:val="0"/>
        <w:autoSpaceDE w:val="0"/>
        <w:autoSpaceDN w:val="0"/>
        <w:adjustRightInd w:val="0"/>
        <w:snapToGrid w:val="0"/>
        <w:spacing w:before="0" w:beforeAutospacing="0" w:after="0" w:afterAutospacing="0" w:line="420" w:lineRule="exact"/>
        <w:ind w:left="0" w:right="0" w:firstLine="484" w:firstLineChars="202"/>
        <w:jc w:val="both"/>
        <w:textAlignment w:val="baseline"/>
        <w:rPr>
          <w:rFonts w:hint="eastAsia" w:ascii="宋体" w:hAnsi="宋体" w:eastAsia="宋体" w:cs="宋体"/>
          <w:color w:val="000000"/>
          <w:kern w:val="0"/>
          <w:sz w:val="24"/>
          <w:szCs w:val="24"/>
          <w:u w:val="single"/>
        </w:rPr>
      </w:pPr>
      <w:r>
        <w:rPr>
          <w:rFonts w:hint="eastAsia" w:ascii="宋体" w:hAnsi="宋体" w:eastAsia="宋体" w:cs="宋体"/>
          <w:snapToGrid/>
          <w:color w:val="000000"/>
          <w:kern w:val="0"/>
          <w:sz w:val="24"/>
          <w:szCs w:val="24"/>
          <w:u w:val="single"/>
          <w:lang w:val="en-US" w:eastAsia="zh-CN" w:bidi="ar"/>
        </w:rPr>
        <w:t>合同解除后，已经订货的材料、设备由订货方负责处理，费用自负。承包人将机械设备和人员撤出施工场地的费用由承包人负责</w:t>
      </w:r>
      <w:r>
        <w:rPr>
          <w:rFonts w:hint="eastAsia" w:ascii="宋体" w:hAnsi="宋体" w:eastAsia="宋体" w:cs="宋体"/>
          <w:snapToGrid/>
          <w:color w:val="000000"/>
          <w:kern w:val="0"/>
          <w:sz w:val="24"/>
          <w:szCs w:val="24"/>
          <w:lang w:val="en-US" w:eastAsia="zh-CN" w:bidi="ar"/>
        </w:rPr>
        <w:t>。</w:t>
      </w:r>
    </w:p>
    <w:p w14:paraId="1976DDBC">
      <w:pPr>
        <w:keepNext w:val="0"/>
        <w:keepLines w:val="0"/>
        <w:widowControl w:val="0"/>
        <w:numPr>
          <w:ilvl w:val="0"/>
          <w:numId w:val="2"/>
        </w:numPr>
        <w:suppressLineNumbers w:val="0"/>
        <w:kinsoku w:val="0"/>
        <w:autoSpaceDE w:val="0"/>
        <w:autoSpaceDN w:val="0"/>
        <w:adjustRightInd w:val="0"/>
        <w:snapToGrid w:val="0"/>
        <w:spacing w:before="0" w:beforeAutospacing="0" w:after="0" w:afterAutospacing="0" w:line="420" w:lineRule="exact"/>
        <w:ind w:left="0" w:leftChars="0" w:right="0" w:firstLine="484" w:firstLineChars="202"/>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u w:val="single"/>
          <w:lang w:val="en-US" w:eastAsia="zh-CN" w:bidi="ar"/>
        </w:rPr>
        <w:t>承包人违约的，还需承担发包人为实现合同权利所支出的一切合理必要费用，包括但不限于诉讼费、保全费、保全保险费、公告费、鉴定费、律师费等等</w:t>
      </w:r>
      <w:r>
        <w:rPr>
          <w:rFonts w:hint="eastAsia" w:ascii="宋体" w:hAnsi="宋体" w:eastAsia="宋体" w:cs="宋体"/>
          <w:snapToGrid/>
          <w:color w:val="000000"/>
          <w:kern w:val="0"/>
          <w:sz w:val="24"/>
          <w:szCs w:val="24"/>
          <w:lang w:val="en-US" w:eastAsia="zh-CN" w:bidi="ar"/>
        </w:rPr>
        <w:t>。</w:t>
      </w:r>
    </w:p>
    <w:p w14:paraId="11670C36">
      <w:pPr>
        <w:pStyle w:val="19"/>
        <w:keepNext w:val="0"/>
        <w:keepLines w:val="0"/>
        <w:widowControl w:val="0"/>
        <w:suppressLineNumbers w:val="0"/>
        <w:kinsoku/>
        <w:autoSpaceDE w:val="0"/>
        <w:autoSpaceDN/>
        <w:adjustRightInd/>
        <w:snapToGrid/>
        <w:spacing w:before="0" w:beforeAutospacing="0" w:after="0" w:afterAutospacing="0" w:line="420" w:lineRule="exact"/>
        <w:ind w:left="0" w:right="0" w:firstLine="480" w:firstLineChars="200"/>
        <w:jc w:val="both"/>
        <w:textAlignment w:val="auto"/>
        <w:rPr>
          <w:rFonts w:hint="eastAsia" w:ascii="宋体" w:hAnsi="宋体" w:eastAsia="宋体" w:cs="宋体"/>
          <w:sz w:val="24"/>
          <w:szCs w:val="24"/>
        </w:rPr>
      </w:pPr>
      <w:r>
        <w:rPr>
          <w:rStyle w:val="78"/>
          <w:rFonts w:hint="eastAsia" w:ascii="宋体" w:hAnsi="宋体" w:eastAsia="宋体" w:cs="宋体"/>
          <w:color w:val="auto"/>
          <w:kern w:val="2"/>
          <w:sz w:val="24"/>
          <w:szCs w:val="24"/>
          <w:lang w:val="en-US" w:eastAsia="zh-CN" w:bidi="ar"/>
        </w:rPr>
        <w:t>22.1.3 承包人违约解除合同</w:t>
      </w:r>
    </w:p>
    <w:p w14:paraId="69171FD4">
      <w:pPr>
        <w:keepNext w:val="0"/>
        <w:keepLines w:val="0"/>
        <w:widowControl w:val="0"/>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关于承包人违约解除合同的特别约定：</w:t>
      </w:r>
      <w:r>
        <w:rPr>
          <w:rFonts w:hint="eastAsia" w:ascii="宋体" w:hAnsi="宋体" w:eastAsia="宋体" w:cs="宋体"/>
          <w:snapToGrid/>
          <w:color w:val="000000"/>
          <w:kern w:val="0"/>
          <w:sz w:val="24"/>
          <w:szCs w:val="24"/>
          <w:u w:val="single"/>
          <w:lang w:val="en-US" w:eastAsia="zh-CN" w:bidi="ar"/>
        </w:rPr>
        <w:t>承包人应在收到发包人通知解除合同之日起十五日内无条件撤离现场。由承包人原因给发包人造成损失，全部由承包人承担</w:t>
      </w:r>
      <w:r>
        <w:rPr>
          <w:rFonts w:hint="eastAsia" w:ascii="宋体" w:hAnsi="宋体" w:eastAsia="宋体" w:cs="宋体"/>
          <w:snapToGrid/>
          <w:color w:val="000000"/>
          <w:kern w:val="0"/>
          <w:sz w:val="24"/>
          <w:szCs w:val="24"/>
          <w:lang w:val="en-US" w:eastAsia="zh-CN" w:bidi="ar"/>
        </w:rPr>
        <w:t>。</w:t>
      </w:r>
    </w:p>
    <w:p w14:paraId="071713E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2" w:firstLineChars="200"/>
        <w:jc w:val="both"/>
        <w:textAlignment w:val="baseline"/>
        <w:rPr>
          <w:rFonts w:hint="eastAsia" w:ascii="黑体" w:hAnsi="宋体" w:eastAsia="黑体" w:cs="黑体"/>
          <w:b/>
          <w:bCs/>
          <w:color w:val="000000"/>
          <w:kern w:val="0"/>
          <w:sz w:val="24"/>
          <w:szCs w:val="24"/>
        </w:rPr>
      </w:pPr>
      <w:r>
        <w:rPr>
          <w:rFonts w:hint="eastAsia" w:ascii="黑体" w:hAnsi="宋体" w:eastAsia="黑体" w:cs="黑体"/>
          <w:b/>
          <w:bCs/>
          <w:snapToGrid/>
          <w:color w:val="000000"/>
          <w:spacing w:val="0"/>
          <w:kern w:val="0"/>
          <w:sz w:val="24"/>
          <w:szCs w:val="24"/>
          <w:lang w:val="en-US" w:eastAsia="zh-CN" w:bidi="ar"/>
        </w:rPr>
        <w:t>24.  争议的解决</w:t>
      </w:r>
    </w:p>
    <w:p w14:paraId="18CFABC1">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黑体" w:hAnsi="宋体" w:eastAsia="黑体" w:cs="黑体"/>
          <w:color w:val="000000"/>
          <w:kern w:val="0"/>
          <w:sz w:val="24"/>
          <w:szCs w:val="24"/>
        </w:rPr>
      </w:pPr>
      <w:r>
        <w:rPr>
          <w:rFonts w:hint="eastAsia" w:ascii="黑体" w:hAnsi="宋体" w:eastAsia="黑体" w:cs="黑体"/>
          <w:snapToGrid/>
          <w:color w:val="000000"/>
          <w:spacing w:val="0"/>
          <w:kern w:val="0"/>
          <w:sz w:val="24"/>
          <w:szCs w:val="24"/>
          <w:lang w:val="en-US" w:eastAsia="zh-CN" w:bidi="ar"/>
        </w:rPr>
        <w:t>24.1 争议的解决方式</w:t>
      </w:r>
    </w:p>
    <w:p w14:paraId="0B40CE87">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合同当事人调解不成的，按照以下第</w:t>
      </w:r>
      <w:r>
        <w:rPr>
          <w:rFonts w:hint="eastAsia" w:ascii="宋体" w:hAnsi="宋体" w:eastAsia="宋体" w:cs="宋体"/>
          <w:snapToGrid/>
          <w:color w:val="000000"/>
          <w:spacing w:val="0"/>
          <w:kern w:val="0"/>
          <w:sz w:val="24"/>
          <w:szCs w:val="24"/>
          <w:u w:val="single"/>
          <w:lang w:val="en-US" w:eastAsia="zh-CN" w:bidi="ar"/>
        </w:rPr>
        <w:t xml:space="preserve"> 2 </w:t>
      </w:r>
      <w:r>
        <w:rPr>
          <w:rFonts w:hint="eastAsia" w:ascii="宋体" w:hAnsi="宋体" w:eastAsia="宋体" w:cs="宋体"/>
          <w:snapToGrid/>
          <w:color w:val="000000"/>
          <w:spacing w:val="0"/>
          <w:kern w:val="0"/>
          <w:sz w:val="24"/>
          <w:szCs w:val="24"/>
          <w:lang w:val="en-US" w:eastAsia="zh-CN" w:bidi="ar"/>
        </w:rPr>
        <w:t>种方式解决争议：</w:t>
      </w:r>
    </w:p>
    <w:p w14:paraId="1BD51415">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（l）向</w:t>
      </w:r>
      <w:r>
        <w:rPr>
          <w:rFonts w:hint="eastAsia" w:ascii="宋体" w:hAnsi="宋体" w:eastAsia="宋体" w:cs="宋体"/>
          <w:snapToGrid/>
          <w:color w:val="000000"/>
          <w:spacing w:val="0"/>
          <w:kern w:val="0"/>
          <w:sz w:val="24"/>
          <w:szCs w:val="24"/>
          <w:u w:val="single"/>
          <w:lang w:val="en-US" w:eastAsia="zh-CN" w:bidi="ar"/>
        </w:rPr>
        <w:t xml:space="preserve">  /  </w:t>
      </w:r>
      <w:r>
        <w:rPr>
          <w:rFonts w:hint="eastAsia" w:ascii="宋体" w:hAnsi="宋体" w:eastAsia="宋体" w:cs="宋体"/>
          <w:snapToGrid/>
          <w:color w:val="000000"/>
          <w:spacing w:val="0"/>
          <w:kern w:val="0"/>
          <w:sz w:val="24"/>
          <w:szCs w:val="24"/>
          <w:lang w:val="en-US" w:eastAsia="zh-CN" w:bidi="ar"/>
        </w:rPr>
        <w:t>仲裁委员会申请仲裁；</w:t>
      </w:r>
    </w:p>
    <w:p w14:paraId="0AD6BA70">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（2）向</w:t>
      </w:r>
      <w:r>
        <w:rPr>
          <w:rFonts w:hint="eastAsia" w:ascii="宋体" w:hAnsi="宋体" w:eastAsia="宋体" w:cs="宋体"/>
          <w:snapToGrid/>
          <w:color w:val="000000"/>
          <w:spacing w:val="0"/>
          <w:kern w:val="0"/>
          <w:sz w:val="24"/>
          <w:szCs w:val="24"/>
          <w:u w:val="single"/>
          <w:lang w:val="en-US" w:eastAsia="zh-CN" w:bidi="ar"/>
        </w:rPr>
        <w:t>工程所在地</w:t>
      </w:r>
      <w:r>
        <w:rPr>
          <w:rFonts w:hint="eastAsia" w:ascii="宋体" w:hAnsi="宋体" w:eastAsia="宋体" w:cs="宋体"/>
          <w:snapToGrid/>
          <w:color w:val="000000"/>
          <w:spacing w:val="0"/>
          <w:kern w:val="0"/>
          <w:sz w:val="24"/>
          <w:szCs w:val="24"/>
          <w:lang w:val="en-US" w:eastAsia="zh-CN" w:bidi="ar"/>
        </w:rPr>
        <w:t>有管辖权的项目人民法院提起诉讼；</w:t>
      </w:r>
    </w:p>
    <w:p w14:paraId="416021D4">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spacing w:val="0"/>
          <w:kern w:val="0"/>
          <w:sz w:val="24"/>
          <w:szCs w:val="24"/>
          <w:lang w:val="en-US" w:eastAsia="zh-CN" w:bidi="ar"/>
        </w:rPr>
        <w:t>（3）其他争议解决方式：</w:t>
      </w:r>
      <w:r>
        <w:rPr>
          <w:rFonts w:hint="eastAsia" w:ascii="宋体" w:hAnsi="宋体" w:eastAsia="宋体" w:cs="宋体"/>
          <w:snapToGrid/>
          <w:color w:val="000000"/>
          <w:spacing w:val="0"/>
          <w:kern w:val="0"/>
          <w:sz w:val="24"/>
          <w:szCs w:val="24"/>
          <w:u w:val="single"/>
          <w:lang w:val="en-US" w:eastAsia="zh-CN" w:bidi="ar"/>
        </w:rPr>
        <w:t xml:space="preserve">  /  </w:t>
      </w:r>
      <w:r>
        <w:rPr>
          <w:rFonts w:hint="eastAsia" w:ascii="宋体" w:hAnsi="宋体" w:eastAsia="宋体" w:cs="宋体"/>
          <w:snapToGrid/>
          <w:color w:val="000000"/>
          <w:spacing w:val="0"/>
          <w:kern w:val="0"/>
          <w:sz w:val="24"/>
          <w:szCs w:val="24"/>
          <w:lang w:val="en-US" w:eastAsia="zh-CN" w:bidi="ar"/>
        </w:rPr>
        <w:t>。</w:t>
      </w:r>
    </w:p>
    <w:p w14:paraId="105818CE">
      <w:pPr>
        <w:keepNext w:val="0"/>
        <w:keepLines w:val="0"/>
        <w:widowControl/>
        <w:suppressLineNumbers w:val="0"/>
        <w:kinsoku w:val="0"/>
        <w:autoSpaceDE w:val="0"/>
        <w:autoSpaceDN w:val="0"/>
        <w:adjustRightInd w:val="0"/>
        <w:snapToGrid w:val="0"/>
        <w:spacing w:before="0" w:beforeAutospacing="0" w:after="0" w:afterAutospacing="0" w:line="420" w:lineRule="exact"/>
        <w:ind w:left="0" w:right="0" w:firstLine="480" w:firstLineChars="200"/>
        <w:jc w:val="both"/>
        <w:textAlignment w:val="baseline"/>
        <w:rPr>
          <w:rFonts w:hint="eastAsia" w:ascii="宋体" w:hAnsi="宋体" w:eastAsia="宋体" w:cs="宋体"/>
          <w:color w:val="000000"/>
          <w:spacing w:val="0"/>
          <w:kern w:val="0"/>
          <w:sz w:val="24"/>
          <w:szCs w:val="24"/>
        </w:rPr>
      </w:pPr>
      <w:r>
        <w:rPr>
          <w:rFonts w:hint="eastAsia" w:ascii="宋体" w:hAnsi="宋体" w:eastAsia="宋体" w:cs="宋体"/>
          <w:snapToGrid/>
          <w:color w:val="000000"/>
          <w:spacing w:val="0"/>
          <w:kern w:val="0"/>
          <w:sz w:val="24"/>
          <w:szCs w:val="24"/>
          <w:lang w:val="en-US" w:eastAsia="zh-CN" w:bidi="ar"/>
        </w:rPr>
        <w:t>因承包人违约导致发包人提起诉讼的，发包人因诉讼产生的诉讼费、律师费、财产保全费、财产保全担保费、公告费、评估鉴定费等为实现债权的相关费用，均由承包人承担。</w:t>
      </w:r>
    </w:p>
    <w:p w14:paraId="6F5F1D84">
      <w:pPr>
        <w:keepNext w:val="0"/>
        <w:keepLines w:val="0"/>
        <w:widowControl/>
        <w:suppressLineNumbers w:val="0"/>
        <w:tabs>
          <w:tab w:val="center" w:pos="4153"/>
          <w:tab w:val="right" w:pos="8306"/>
        </w:tabs>
        <w:kinsoku w:val="0"/>
        <w:autoSpaceDE w:val="0"/>
        <w:autoSpaceDN w:val="0"/>
        <w:adjustRightInd w:val="0"/>
        <w:snapToGrid w:val="0"/>
        <w:spacing w:before="0" w:beforeAutospacing="0" w:after="0" w:afterAutospacing="0"/>
        <w:ind w:left="0" w:right="0" w:firstLineChars="200"/>
        <w:jc w:val="left"/>
        <w:textAlignment w:val="baseline"/>
        <w:rPr>
          <w:rFonts w:hint="eastAsia" w:ascii="宋体" w:hAnsi="宋体" w:eastAsia="宋体" w:cs="宋体"/>
          <w:color w:val="000000"/>
          <w:spacing w:val="0"/>
          <w:kern w:val="0"/>
          <w:sz w:val="28"/>
          <w:szCs w:val="28"/>
        </w:rPr>
      </w:pPr>
      <w:r>
        <w:rPr>
          <w:rFonts w:hint="eastAsia" w:ascii="宋体" w:hAnsi="宋体" w:eastAsia="宋体" w:cs="宋体"/>
          <w:snapToGrid/>
          <w:color w:val="000000"/>
          <w:spacing w:val="0"/>
          <w:kern w:val="0"/>
          <w:sz w:val="28"/>
          <w:szCs w:val="28"/>
          <w:lang w:val="en-US" w:eastAsia="zh-CN" w:bidi="ar"/>
        </w:rPr>
        <w:t xml:space="preserve"> </w:t>
      </w:r>
    </w:p>
    <w:p w14:paraId="2F976A97">
      <w:pPr>
        <w:keepNext w:val="0"/>
        <w:keepLines w:val="0"/>
        <w:widowControl/>
        <w:suppressLineNumbers w:val="0"/>
        <w:tabs>
          <w:tab w:val="center" w:pos="4153"/>
          <w:tab w:val="right" w:pos="8306"/>
        </w:tabs>
        <w:kinsoku w:val="0"/>
        <w:autoSpaceDE w:val="0"/>
        <w:autoSpaceDN w:val="0"/>
        <w:adjustRightInd w:val="0"/>
        <w:snapToGrid w:val="0"/>
        <w:spacing w:before="0" w:beforeAutospacing="0" w:after="0" w:afterAutospacing="0"/>
        <w:ind w:left="0" w:right="0" w:firstLineChars="200"/>
        <w:jc w:val="left"/>
        <w:textAlignment w:val="baseline"/>
      </w:pPr>
      <w:r>
        <w:rPr>
          <w:rFonts w:hint="eastAsia" w:ascii="宋体" w:hAnsi="宋体" w:eastAsia="宋体" w:cs="宋体"/>
          <w:snapToGrid/>
          <w:color w:val="000000"/>
          <w:spacing w:val="0"/>
          <w:kern w:val="0"/>
          <w:sz w:val="28"/>
          <w:szCs w:val="28"/>
          <w:lang w:val="en-US" w:eastAsia="zh-CN" w:bidi="ar"/>
        </w:rPr>
        <w:t>附件：</w:t>
      </w:r>
      <w:r>
        <w:rPr>
          <w:rFonts w:hint="eastAsia" w:ascii="宋体" w:hAnsi="宋体" w:eastAsia="宋体" w:cs="宋体"/>
          <w:snapToGrid/>
          <w:color w:val="000000"/>
          <w:kern w:val="0"/>
          <w:sz w:val="28"/>
          <w:szCs w:val="28"/>
          <w:lang w:val="en-US" w:eastAsia="zh-CN" w:bidi="ar"/>
        </w:rPr>
        <w:t>工程质量保修</w:t>
      </w:r>
    </w:p>
    <w:p w14:paraId="5837DB36">
      <w:pPr>
        <w:rPr>
          <w:rFonts w:hint="eastAsia" w:ascii="黑体" w:hAnsi="宋体" w:eastAsia="黑体" w:cs="黑体"/>
          <w:color w:val="000000"/>
          <w:spacing w:val="0"/>
          <w:kern w:val="0"/>
          <w:sz w:val="28"/>
          <w:szCs w:val="28"/>
        </w:rPr>
        <w:sectPr>
          <w:pgSz w:w="11906" w:h="16839"/>
          <w:pgMar w:top="1440" w:right="1519" w:bottom="1440" w:left="1519" w:header="1" w:footer="1306" w:gutter="0"/>
          <w:pgNumType w:fmt="decimal"/>
          <w:cols w:space="0" w:num="1"/>
          <w:titlePg/>
          <w:rtlGutter w:val="0"/>
          <w:docGrid w:type="lines" w:linePitch="312" w:charSpace="0"/>
        </w:sectPr>
      </w:pPr>
    </w:p>
    <w:p w14:paraId="008A100D">
      <w:pPr>
        <w:keepNext w:val="0"/>
        <w:keepLines w:val="0"/>
        <w:widowControl/>
        <w:suppressLineNumbers w:val="0"/>
        <w:kinsoku w:val="0"/>
        <w:autoSpaceDE w:val="0"/>
        <w:autoSpaceDN w:val="0"/>
        <w:adjustRightInd w:val="0"/>
        <w:snapToGrid w:val="0"/>
        <w:spacing w:before="0" w:beforeAutospacing="0" w:after="0" w:afterAutospacing="0"/>
        <w:ind w:left="4418" w:right="0"/>
        <w:jc w:val="left"/>
        <w:textAlignment w:val="baseline"/>
        <w:rPr>
          <w:rFonts w:hint="default" w:ascii="Calibri" w:hAnsi="Calibri" w:cs="Calibri"/>
          <w:color w:val="000000"/>
          <w:kern w:val="0"/>
          <w:sz w:val="18"/>
          <w:szCs w:val="18"/>
        </w:rPr>
      </w:pPr>
    </w:p>
    <w:p w14:paraId="07F9FBFD">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黑体" w:cs="Arial"/>
          <w:color w:val="000000"/>
          <w:kern w:val="2"/>
          <w:sz w:val="28"/>
          <w:szCs w:val="28"/>
        </w:rPr>
      </w:pPr>
      <w:r>
        <w:rPr>
          <w:rFonts w:hint="eastAsia" w:ascii="黑体" w:hAnsi="宋体" w:eastAsia="黑体" w:cs="黑体"/>
          <w:snapToGrid/>
          <w:color w:val="000000"/>
          <w:spacing w:val="0"/>
          <w:kern w:val="2"/>
          <w:sz w:val="28"/>
          <w:szCs w:val="28"/>
          <w:lang w:val="en-US" w:eastAsia="zh-CN" w:bidi="ar"/>
        </w:rPr>
        <w:t>附件：</w:t>
      </w:r>
      <w:r>
        <w:rPr>
          <w:rFonts w:hint="eastAsia" w:ascii="黑体" w:hAnsi="宋体" w:eastAsia="黑体" w:cs="黑体"/>
          <w:snapToGrid/>
          <w:color w:val="000000"/>
          <w:kern w:val="2"/>
          <w:sz w:val="28"/>
          <w:szCs w:val="28"/>
          <w:lang w:val="en-US" w:eastAsia="zh-CN" w:bidi="ar"/>
        </w:rPr>
        <w:t>工程质量保修书</w:t>
      </w:r>
    </w:p>
    <w:p w14:paraId="7C676E0C">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default" w:ascii="Times New Roman" w:hAnsi="Times New Roman" w:eastAsia="黑体" w:cs="Arial"/>
          <w:color w:val="000000"/>
          <w:spacing w:val="0"/>
          <w:kern w:val="2"/>
          <w:sz w:val="31"/>
          <w:szCs w:val="31"/>
        </w:rPr>
      </w:pPr>
      <w:r>
        <w:rPr>
          <w:rFonts w:hint="default" w:ascii="Times New Roman" w:hAnsi="Times New Roman" w:eastAsia="黑体" w:cs="Arial"/>
          <w:snapToGrid/>
          <w:color w:val="000000"/>
          <w:spacing w:val="0"/>
          <w:kern w:val="2"/>
          <w:sz w:val="31"/>
          <w:szCs w:val="31"/>
          <w:lang w:val="en-US" w:eastAsia="zh-CN" w:bidi="ar"/>
        </w:rPr>
        <w:t xml:space="preserve"> </w:t>
      </w:r>
    </w:p>
    <w:p w14:paraId="528DC767">
      <w:pPr>
        <w:keepNext w:val="0"/>
        <w:keepLines w:val="0"/>
        <w:widowControl/>
        <w:suppressLineNumbers w:val="0"/>
        <w:kinsoku w:val="0"/>
        <w:autoSpaceDE w:val="0"/>
        <w:autoSpaceDN w:val="0"/>
        <w:adjustRightInd w:val="0"/>
        <w:snapToGrid w:val="0"/>
        <w:spacing w:before="156" w:beforeLines="50" w:beforeAutospacing="0" w:after="156" w:afterLines="50" w:afterAutospacing="0" w:line="440" w:lineRule="exact"/>
        <w:ind w:left="0" w:right="0"/>
        <w:jc w:val="center"/>
        <w:textAlignment w:val="baseline"/>
        <w:rPr>
          <w:rFonts w:hint="eastAsia" w:ascii="宋体" w:hAnsi="宋体" w:eastAsia="宋体" w:cs="宋体"/>
          <w:b/>
          <w:bCs/>
          <w:color w:val="000000"/>
          <w:kern w:val="0"/>
          <w:sz w:val="44"/>
          <w:szCs w:val="44"/>
        </w:rPr>
      </w:pPr>
      <w:r>
        <w:rPr>
          <w:rFonts w:hint="eastAsia" w:ascii="宋体" w:hAnsi="宋体" w:eastAsia="宋体" w:cs="宋体"/>
          <w:b/>
          <w:bCs/>
          <w:snapToGrid/>
          <w:color w:val="000000"/>
          <w:kern w:val="0"/>
          <w:sz w:val="44"/>
          <w:szCs w:val="44"/>
          <w:lang w:val="en-US" w:eastAsia="zh-CN" w:bidi="ar"/>
        </w:rPr>
        <w:t>工程质量保修书</w:t>
      </w:r>
    </w:p>
    <w:p w14:paraId="03482A9F">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 </w:t>
      </w:r>
    </w:p>
    <w:p w14:paraId="48A26622">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0" w:firstLineChars="20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发包人（全称）：</w:t>
      </w:r>
      <w:r>
        <w:rPr>
          <w:rFonts w:hint="eastAsia" w:ascii="宋体" w:hAnsi="宋体" w:eastAsia="宋体" w:cs="宋体"/>
          <w:snapToGrid/>
          <w:color w:val="000000"/>
          <w:kern w:val="0"/>
          <w:sz w:val="24"/>
          <w:szCs w:val="24"/>
          <w:u w:val="single"/>
          <w:lang w:val="en-US" w:eastAsia="zh-CN" w:bidi="ar"/>
        </w:rPr>
        <w:t xml:space="preserve"> 怀化市鹤城区城市建设投资有限公司 </w:t>
      </w:r>
      <w:r>
        <w:rPr>
          <w:rFonts w:hint="eastAsia" w:ascii="宋体" w:hAnsi="宋体" w:eastAsia="宋体" w:cs="宋体"/>
          <w:snapToGrid/>
          <w:color w:val="000000"/>
          <w:kern w:val="0"/>
          <w:sz w:val="24"/>
          <w:szCs w:val="24"/>
          <w:lang w:val="en-US" w:eastAsia="zh-CN" w:bidi="ar"/>
        </w:rPr>
        <w:t xml:space="preserve"> </w:t>
      </w:r>
    </w:p>
    <w:p w14:paraId="498F71A9">
      <w:pPr>
        <w:keepNext w:val="0"/>
        <w:keepLines w:val="0"/>
        <w:widowControl/>
        <w:suppressLineNumbers w:val="0"/>
        <w:kinsoku w:val="0"/>
        <w:autoSpaceDE w:val="0"/>
        <w:autoSpaceDN/>
        <w:adjustRightInd w:val="0"/>
        <w:snapToGrid w:val="0"/>
        <w:spacing w:before="0" w:beforeAutospacing="0" w:after="0" w:afterAutospacing="0" w:line="440" w:lineRule="exact"/>
        <w:ind w:left="0" w:right="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  承包人（全称）：</w:t>
      </w:r>
      <w:r>
        <w:rPr>
          <w:rFonts w:hint="eastAsia" w:ascii="宋体" w:hAnsi="宋体" w:eastAsia="宋体" w:cs="宋体"/>
          <w:snapToGrid/>
          <w:color w:val="000000"/>
          <w:kern w:val="0"/>
          <w:sz w:val="24"/>
          <w:szCs w:val="24"/>
          <w:u w:val="single"/>
          <w:lang w:val="en-US" w:eastAsia="zh-CN" w:bidi="ar"/>
        </w:rPr>
        <w:t xml:space="preserve">                                  </w:t>
      </w:r>
    </w:p>
    <w:p w14:paraId="6244E2E9">
      <w:pPr>
        <w:keepNext w:val="0"/>
        <w:keepLines w:val="0"/>
        <w:widowControl/>
        <w:suppressLineNumbers w:val="0"/>
        <w:kinsoku w:val="0"/>
        <w:autoSpaceDE w:val="0"/>
        <w:autoSpaceDN/>
        <w:adjustRightInd w:val="0"/>
        <w:snapToGrid w:val="0"/>
        <w:spacing w:before="0" w:beforeAutospacing="0" w:after="0" w:afterAutospacing="0" w:line="440" w:lineRule="exact"/>
        <w:ind w:left="0" w:right="0"/>
        <w:jc w:val="both"/>
        <w:textAlignment w:val="baseline"/>
        <w:rPr>
          <w:rFonts w:hint="eastAsia" w:ascii="宋体" w:hAnsi="宋体" w:eastAsia="宋体" w:cs="宋体"/>
          <w:bCs/>
          <w:color w:val="FF0000"/>
          <w:kern w:val="0"/>
          <w:sz w:val="24"/>
          <w:szCs w:val="24"/>
          <w:u w:val="single"/>
        </w:rPr>
      </w:pPr>
      <w:r>
        <w:rPr>
          <w:rFonts w:hint="eastAsia" w:ascii="宋体" w:hAnsi="宋体" w:eastAsia="宋体" w:cs="宋体"/>
          <w:snapToGrid/>
          <w:color w:val="000000"/>
          <w:kern w:val="0"/>
          <w:sz w:val="24"/>
          <w:szCs w:val="24"/>
          <w:lang w:val="en-US" w:eastAsia="zh-CN" w:bidi="ar"/>
        </w:rPr>
        <w:t xml:space="preserve">  </w:t>
      </w:r>
      <w:r>
        <w:rPr>
          <w:rFonts w:hint="eastAsia" w:ascii="宋体" w:hAnsi="宋体" w:eastAsia="宋体" w:cs="宋体"/>
          <w:snapToGrid/>
          <w:color w:val="FF0000"/>
          <w:kern w:val="0"/>
          <w:sz w:val="24"/>
          <w:szCs w:val="24"/>
          <w:lang w:val="en-US" w:eastAsia="zh-CN" w:bidi="ar"/>
        </w:rPr>
        <w:t>发包人和承包人根据《中华人民共和国民法典》、《中华人民共和国建筑法》和《建设工程质量管理条例》，经协商一致就</w:t>
      </w:r>
      <w:r>
        <w:rPr>
          <w:rFonts w:hint="eastAsia" w:ascii="宋体" w:hAnsi="宋体" w:eastAsia="宋体" w:cs="宋体"/>
          <w:snapToGrid/>
          <w:color w:val="FF0000"/>
          <w:kern w:val="0"/>
          <w:sz w:val="24"/>
          <w:szCs w:val="24"/>
          <w:u w:val="single"/>
          <w:lang w:val="en-US" w:eastAsia="zh-CN" w:bidi="ar"/>
        </w:rPr>
        <w:t>鹤北新城城中村改造安置区配电工程(外线部分)配电工程</w:t>
      </w:r>
      <w:r>
        <w:rPr>
          <w:rFonts w:hint="eastAsia" w:ascii="宋体" w:hAnsi="宋体" w:eastAsia="宋体" w:cs="宋体"/>
          <w:snapToGrid/>
          <w:color w:val="FF0000"/>
          <w:kern w:val="0"/>
          <w:sz w:val="24"/>
          <w:szCs w:val="24"/>
          <w:lang w:val="en-US" w:eastAsia="zh-CN" w:bidi="ar"/>
        </w:rPr>
        <w:t>签订工程质量保修书。</w:t>
      </w:r>
    </w:p>
    <w:p w14:paraId="0DA723B3">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一、工程质量保修范围和内容</w:t>
      </w:r>
    </w:p>
    <w:p w14:paraId="1B8D88E0">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承包人在质量保修期内，按照有关法律规定和合同约定，承担工程质量保修责任。</w:t>
      </w:r>
    </w:p>
    <w:p w14:paraId="7EDB66B6">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0" w:firstLineChars="0"/>
        <w:jc w:val="both"/>
        <w:textAlignment w:val="baseline"/>
        <w:rPr>
          <w:rFonts w:hint="eastAsia" w:ascii="宋体" w:hAnsi="宋体" w:eastAsia="宋体" w:cs="宋体"/>
          <w:bCs/>
          <w:color w:val="FF0000"/>
          <w:kern w:val="0"/>
          <w:sz w:val="24"/>
          <w:szCs w:val="24"/>
          <w:u w:val="single"/>
        </w:rPr>
      </w:pPr>
      <w:r>
        <w:rPr>
          <w:rFonts w:hint="eastAsia" w:ascii="宋体" w:hAnsi="宋体" w:eastAsia="宋体" w:cs="宋体"/>
          <w:snapToGrid/>
          <w:color w:val="FF0000"/>
          <w:kern w:val="0"/>
          <w:sz w:val="24"/>
          <w:szCs w:val="24"/>
          <w:lang w:val="en-US" w:eastAsia="zh-CN" w:bidi="ar"/>
        </w:rPr>
        <w:t>质量保修范围包括电气管线、管道、设备安装工程以及双方约定的其他项目。具体保修的内容为</w:t>
      </w:r>
      <w:r>
        <w:rPr>
          <w:rFonts w:hint="eastAsia" w:ascii="宋体" w:hAnsi="宋体" w:eastAsia="宋体" w:cs="宋体"/>
          <w:snapToGrid/>
          <w:color w:val="FF0000"/>
          <w:kern w:val="0"/>
          <w:sz w:val="24"/>
          <w:szCs w:val="24"/>
          <w:u w:val="single"/>
          <w:lang w:val="en-US" w:eastAsia="zh-CN" w:bidi="ar"/>
        </w:rPr>
        <w:t>鹤北新城城中村改造安置区配电工程(外线部分)配电工程</w:t>
      </w:r>
      <w:r>
        <w:rPr>
          <w:rFonts w:hint="eastAsia" w:ascii="宋体" w:hAnsi="宋体" w:eastAsia="宋体" w:cs="宋体"/>
          <w:snapToGrid/>
          <w:color w:val="FF0000"/>
          <w:kern w:val="0"/>
          <w:sz w:val="24"/>
          <w:szCs w:val="24"/>
          <w:lang w:val="en-US" w:eastAsia="zh-CN" w:bidi="ar"/>
        </w:rPr>
        <w:t>合同承包人承包范围内的所有施工项目，具体承包范围详见本合同第一部分《合同协议书》相关条款。由于承包人施工质量缺陷问题和材料设备质量缺陷问题，均属承包人免费保修范围。</w:t>
      </w:r>
    </w:p>
    <w:p w14:paraId="776C0336">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二、质量保修期</w:t>
      </w:r>
    </w:p>
    <w:p w14:paraId="04C66A56">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根据《建设工程质量管理条例》及有关规定，工程的质量保修期如下：</w:t>
      </w:r>
    </w:p>
    <w:p w14:paraId="6F74B076">
      <w:pPr>
        <w:keepNext w:val="0"/>
        <w:keepLines w:val="0"/>
        <w:widowControl/>
        <w:suppressLineNumbers w:val="0"/>
        <w:kinsoku w:val="0"/>
        <w:autoSpaceDE w:val="0"/>
        <w:autoSpaceDN/>
        <w:adjustRightInd w:val="0"/>
        <w:snapToGrid w:val="0"/>
        <w:spacing w:before="0" w:beforeAutospacing="0" w:after="0" w:afterAutospacing="0" w:line="440" w:lineRule="exact"/>
        <w:ind w:left="420" w:leftChars="200" w:right="0" w:firstLine="120" w:firstLineChars="50"/>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1、电气管线、给排水管道、设备安装工程为</w:t>
      </w:r>
      <w:r>
        <w:rPr>
          <w:rFonts w:hint="eastAsia" w:ascii="宋体" w:hAnsi="宋体" w:eastAsia="宋体" w:cs="宋体"/>
          <w:snapToGrid/>
          <w:color w:val="FF0000"/>
          <w:kern w:val="0"/>
          <w:sz w:val="24"/>
          <w:szCs w:val="24"/>
          <w:u w:val="single"/>
          <w:lang w:val="en-US" w:eastAsia="zh-CN" w:bidi="ar"/>
        </w:rPr>
        <w:t xml:space="preserve"> 贰 </w:t>
      </w:r>
      <w:r>
        <w:rPr>
          <w:rFonts w:hint="eastAsia" w:ascii="宋体" w:hAnsi="宋体" w:eastAsia="宋体" w:cs="宋体"/>
          <w:snapToGrid/>
          <w:color w:val="FF0000"/>
          <w:kern w:val="0"/>
          <w:sz w:val="24"/>
          <w:szCs w:val="24"/>
          <w:lang w:val="en-US" w:eastAsia="zh-CN" w:bidi="ar"/>
        </w:rPr>
        <w:t>年；</w:t>
      </w:r>
    </w:p>
    <w:p w14:paraId="666DD958">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0" w:firstLineChars="200"/>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2、其他项目保修期限约定如下：</w:t>
      </w:r>
      <w:r>
        <w:rPr>
          <w:rFonts w:hint="eastAsia" w:ascii="宋体" w:hAnsi="宋体" w:eastAsia="宋体" w:cs="宋体"/>
          <w:snapToGrid/>
          <w:color w:val="FF0000"/>
          <w:kern w:val="0"/>
          <w:sz w:val="24"/>
          <w:szCs w:val="24"/>
          <w:u w:val="single"/>
          <w:lang w:val="en-US" w:eastAsia="zh-CN" w:bidi="ar"/>
        </w:rPr>
        <w:t>按国家相关规范标准及行业内规范规定</w:t>
      </w:r>
      <w:r>
        <w:rPr>
          <w:rFonts w:hint="eastAsia" w:ascii="宋体" w:hAnsi="宋体" w:eastAsia="宋体" w:cs="宋体"/>
          <w:snapToGrid/>
          <w:color w:val="FF0000"/>
          <w:kern w:val="0"/>
          <w:sz w:val="24"/>
          <w:szCs w:val="24"/>
          <w:lang w:val="en-US" w:eastAsia="zh-CN" w:bidi="ar"/>
        </w:rPr>
        <w:t>。</w:t>
      </w:r>
    </w:p>
    <w:p w14:paraId="54CB5102">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质量保修期自工程竣工验收合格之日起计算。</w:t>
      </w:r>
    </w:p>
    <w:p w14:paraId="609232B4">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 xml:space="preserve">三、缺陷责任期 </w:t>
      </w:r>
    </w:p>
    <w:p w14:paraId="73169B7B">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工程缺陷责任期为24个月，缺陷责任期自工程竣工验收合格之日起计算。单位工程先于全部工程进行验收，单位工程缺陷责任期自单位工程验收合格之日起算。</w:t>
      </w:r>
    </w:p>
    <w:p w14:paraId="4A088D39">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四、质量保修责任</w:t>
      </w:r>
    </w:p>
    <w:p w14:paraId="3ACDD2A4">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1．属于保修范围、内容的项目，承包人应当在接到保修通知之日起3天内予以修复。承包人不在约定期限内派人保修的，发包人可以委托他人修理。</w:t>
      </w:r>
    </w:p>
    <w:p w14:paraId="75AA1CAC">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2．发生紧急事故需抢修的，承包人在接到事故通知后，应当立即到达事故现场抢修。</w:t>
      </w:r>
    </w:p>
    <w:p w14:paraId="4C94FED0">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5B29B4">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4．质量保修完成后，由发包人组织验收。</w:t>
      </w:r>
    </w:p>
    <w:p w14:paraId="55819202">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五、保修费用</w:t>
      </w:r>
    </w:p>
    <w:p w14:paraId="3A2510D5">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84" w:firstLineChars="202"/>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保修费用由造成质量缺陷的责任方承担。</w:t>
      </w:r>
    </w:p>
    <w:p w14:paraId="606CF5B8">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70" w:firstLineChars="196"/>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六、双方约定的其他工程质量保修事项：</w:t>
      </w:r>
    </w:p>
    <w:p w14:paraId="52DC6D93">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70" w:firstLineChars="196"/>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6.1 如果承包人保修期未履行保修义务或履行质量达不到发包人的要求，发包人可自行或指派第三方维修，维修所产生的费用由发包人确定，并直接从承包人合同价款中扣除，不足扣除的，发包人有权另行向承包人追索，承包人对此不得有任何异议。</w:t>
      </w:r>
    </w:p>
    <w:p w14:paraId="7B5DC6FE">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470" w:firstLineChars="196"/>
        <w:jc w:val="both"/>
        <w:textAlignment w:val="baseline"/>
        <w:rPr>
          <w:rFonts w:hint="eastAsia" w:ascii="宋体" w:hAnsi="宋体" w:eastAsia="宋体" w:cs="宋体"/>
          <w:color w:val="FF0000"/>
          <w:kern w:val="0"/>
          <w:sz w:val="24"/>
          <w:szCs w:val="24"/>
        </w:rPr>
      </w:pPr>
      <w:r>
        <w:rPr>
          <w:rFonts w:hint="eastAsia" w:ascii="宋体" w:hAnsi="宋体" w:eastAsia="宋体" w:cs="宋体"/>
          <w:snapToGrid/>
          <w:color w:val="FF0000"/>
          <w:kern w:val="0"/>
          <w:sz w:val="24"/>
          <w:szCs w:val="24"/>
          <w:lang w:val="en-US" w:eastAsia="zh-CN" w:bidi="ar"/>
        </w:rPr>
        <w:t>6.2 工程质量保修书由发包人、承包人在工程竣工验收前共同签署，作为施工合同附件，其有效期限至保修期满。</w:t>
      </w:r>
    </w:p>
    <w:p w14:paraId="04D532A1">
      <w:pPr>
        <w:keepNext w:val="0"/>
        <w:keepLines w:val="0"/>
        <w:widowControl/>
        <w:suppressLineNumbers w:val="0"/>
        <w:kinsoku w:val="0"/>
        <w:autoSpaceDE w:val="0"/>
        <w:autoSpaceDN/>
        <w:adjustRightInd w:val="0"/>
        <w:snapToGrid w:val="0"/>
        <w:spacing w:before="0" w:beforeAutospacing="0" w:after="0" w:afterAutospacing="0" w:line="440" w:lineRule="exact"/>
        <w:ind w:left="0" w:right="0" w:firstLine="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 </w:t>
      </w:r>
    </w:p>
    <w:p w14:paraId="11323C98">
      <w:pPr>
        <w:keepNext w:val="0"/>
        <w:keepLines w:val="0"/>
        <w:widowControl/>
        <w:suppressLineNumbers w:val="0"/>
        <w:kinsoku w:val="0"/>
        <w:autoSpaceDE w:val="0"/>
        <w:autoSpaceDN/>
        <w:adjustRightInd w:val="0"/>
        <w:snapToGrid w:val="0"/>
        <w:spacing w:before="0" w:beforeAutospacing="0" w:after="0" w:afterAutospacing="0" w:line="440" w:lineRule="exact"/>
        <w:ind w:left="0" w:right="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发包人(公章)：                         承包人(公章)：           </w:t>
      </w:r>
    </w:p>
    <w:p w14:paraId="16492632">
      <w:pPr>
        <w:keepNext w:val="0"/>
        <w:keepLines w:val="0"/>
        <w:widowControl/>
        <w:suppressLineNumbers w:val="0"/>
        <w:kinsoku w:val="0"/>
        <w:autoSpaceDE w:val="0"/>
        <w:autoSpaceDN/>
        <w:adjustRightInd w:val="0"/>
        <w:snapToGrid w:val="0"/>
        <w:spacing w:before="0" w:beforeAutospacing="0" w:after="0" w:afterAutospacing="0" w:line="440" w:lineRule="exact"/>
        <w:ind w:left="0" w:right="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地  址：                       地  址：       </w:t>
      </w:r>
    </w:p>
    <w:p w14:paraId="2BB57DB3">
      <w:pPr>
        <w:keepNext w:val="0"/>
        <w:keepLines w:val="0"/>
        <w:widowControl/>
        <w:suppressLineNumbers w:val="0"/>
        <w:kinsoku w:val="0"/>
        <w:autoSpaceDE w:val="0"/>
        <w:autoSpaceDN/>
        <w:adjustRightInd w:val="0"/>
        <w:snapToGrid w:val="0"/>
        <w:spacing w:before="0" w:beforeAutospacing="0" w:after="0" w:afterAutospacing="0" w:line="440" w:lineRule="exact"/>
        <w:ind w:left="0" w:right="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法定代表人(签字)：                       法定代表人(签字)：       </w:t>
      </w:r>
    </w:p>
    <w:p w14:paraId="32CBED6A">
      <w:pPr>
        <w:keepNext w:val="0"/>
        <w:keepLines w:val="0"/>
        <w:widowControl/>
        <w:suppressLineNumbers w:val="0"/>
        <w:kinsoku w:val="0"/>
        <w:autoSpaceDE w:val="0"/>
        <w:autoSpaceDN/>
        <w:adjustRightInd w:val="0"/>
        <w:snapToGrid w:val="0"/>
        <w:spacing w:before="0" w:beforeAutospacing="0" w:after="0" w:afterAutospacing="0" w:line="440" w:lineRule="exact"/>
        <w:ind w:left="0" w:right="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委托代理人(签字)：                       委托代理人(签字)：       </w:t>
      </w:r>
    </w:p>
    <w:p w14:paraId="5828B310">
      <w:pPr>
        <w:keepNext w:val="0"/>
        <w:keepLines w:val="0"/>
        <w:widowControl/>
        <w:suppressLineNumbers w:val="0"/>
        <w:kinsoku w:val="0"/>
        <w:autoSpaceDE w:val="0"/>
        <w:autoSpaceDN/>
        <w:adjustRightInd w:val="0"/>
        <w:snapToGrid w:val="0"/>
        <w:spacing w:before="0" w:beforeAutospacing="0" w:after="0" w:afterAutospacing="0" w:line="440" w:lineRule="exact"/>
        <w:ind w:left="0" w:right="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电  话：                     电  话：     </w:t>
      </w:r>
    </w:p>
    <w:p w14:paraId="207A95EE">
      <w:pPr>
        <w:keepNext w:val="0"/>
        <w:keepLines w:val="0"/>
        <w:widowControl/>
        <w:suppressLineNumbers w:val="0"/>
        <w:kinsoku w:val="0"/>
        <w:autoSpaceDE w:val="0"/>
        <w:autoSpaceDN/>
        <w:adjustRightInd w:val="0"/>
        <w:snapToGrid w:val="0"/>
        <w:spacing w:before="0" w:beforeAutospacing="0" w:after="0" w:afterAutospacing="0" w:line="440" w:lineRule="exact"/>
        <w:ind w:left="0" w:right="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传  真：                     传  真：     </w:t>
      </w:r>
    </w:p>
    <w:p w14:paraId="400B4090">
      <w:pPr>
        <w:keepNext w:val="0"/>
        <w:keepLines w:val="0"/>
        <w:widowControl/>
        <w:suppressLineNumbers w:val="0"/>
        <w:kinsoku w:val="0"/>
        <w:autoSpaceDE w:val="0"/>
        <w:autoSpaceDN/>
        <w:adjustRightInd w:val="0"/>
        <w:snapToGrid w:val="0"/>
        <w:spacing w:before="0" w:beforeAutospacing="0" w:after="0" w:afterAutospacing="0" w:line="440" w:lineRule="exact"/>
        <w:ind w:left="0" w:right="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开户银行：                     开户银行：   </w:t>
      </w:r>
    </w:p>
    <w:p w14:paraId="1332AD56">
      <w:pPr>
        <w:keepNext w:val="0"/>
        <w:keepLines w:val="0"/>
        <w:widowControl/>
        <w:suppressLineNumbers w:val="0"/>
        <w:kinsoku w:val="0"/>
        <w:autoSpaceDE w:val="0"/>
        <w:autoSpaceDN/>
        <w:adjustRightInd w:val="0"/>
        <w:snapToGrid w:val="0"/>
        <w:spacing w:before="0" w:beforeAutospacing="0" w:after="0" w:afterAutospacing="0" w:line="440" w:lineRule="exact"/>
        <w:ind w:left="0" w:right="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账  号：                         账  号：     </w:t>
      </w:r>
    </w:p>
    <w:p w14:paraId="0F0A43B6">
      <w:pPr>
        <w:keepNext w:val="0"/>
        <w:keepLines w:val="0"/>
        <w:widowControl/>
        <w:suppressLineNumbers w:val="0"/>
        <w:kinsoku w:val="0"/>
        <w:autoSpaceDE w:val="0"/>
        <w:autoSpaceDN/>
        <w:adjustRightInd w:val="0"/>
        <w:snapToGrid w:val="0"/>
        <w:spacing w:before="0" w:beforeAutospacing="0" w:after="0" w:afterAutospacing="0" w:line="440" w:lineRule="exact"/>
        <w:ind w:left="0" w:right="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邮政编码：                       邮政编码：   </w:t>
      </w:r>
    </w:p>
    <w:p w14:paraId="357844D3">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eastAsia" w:ascii="黑体" w:hAnsi="宋体" w:eastAsia="黑体" w:cs="黑体"/>
          <w:color w:val="000000"/>
          <w:spacing w:val="0"/>
          <w:kern w:val="2"/>
          <w:sz w:val="31"/>
          <w:szCs w:val="31"/>
        </w:rPr>
      </w:pPr>
      <w:r>
        <w:rPr>
          <w:rFonts w:hint="eastAsia" w:ascii="黑体" w:hAnsi="宋体" w:eastAsia="黑体" w:cs="黑体"/>
          <w:snapToGrid/>
          <w:color w:val="000000"/>
          <w:spacing w:val="0"/>
          <w:kern w:val="2"/>
          <w:sz w:val="31"/>
          <w:szCs w:val="31"/>
          <w:lang w:val="en-US" w:eastAsia="zh-CN" w:bidi="ar"/>
        </w:rPr>
        <w:t xml:space="preserve"> </w:t>
      </w:r>
    </w:p>
    <w:p w14:paraId="4D8011D4">
      <w:pPr>
        <w:pStyle w:val="19"/>
        <w:keepNext w:val="0"/>
        <w:keepLines w:val="0"/>
        <w:widowControl/>
        <w:suppressLineNumbers w:val="0"/>
        <w:pBdr>
          <w:top w:val="none" w:color="auto" w:sz="0" w:space="0"/>
          <w:left w:val="none" w:color="auto" w:sz="0" w:space="0"/>
          <w:bottom w:val="none" w:color="auto" w:sz="0" w:space="0"/>
          <w:right w:val="none" w:color="auto" w:sz="0" w:space="0"/>
        </w:pBdr>
        <w:tabs>
          <w:tab w:val="center" w:pos="4153"/>
          <w:tab w:val="right" w:pos="8306"/>
        </w:tabs>
        <w:kinsoku w:val="0"/>
        <w:autoSpaceDE w:val="0"/>
        <w:autoSpaceDN w:val="0"/>
        <w:adjustRightInd w:val="0"/>
        <w:snapToGrid w:val="0"/>
        <w:spacing w:before="0" w:beforeAutospacing="0" w:after="0" w:afterAutospacing="0"/>
        <w:ind w:left="0" w:right="0"/>
        <w:jc w:val="left"/>
        <w:textAlignment w:val="baseline"/>
        <w:rPr>
          <w:rFonts w:hint="eastAsia" w:ascii="黑体" w:hAnsi="宋体" w:eastAsia="黑体" w:cs="黑体"/>
          <w:color w:val="000000"/>
          <w:spacing w:val="0"/>
          <w:kern w:val="2"/>
          <w:sz w:val="31"/>
          <w:szCs w:val="31"/>
        </w:rPr>
      </w:pPr>
      <w:r>
        <w:rPr>
          <w:rFonts w:hint="eastAsia" w:ascii="黑体" w:hAnsi="宋体" w:eastAsia="黑体" w:cs="黑体"/>
          <w:snapToGrid/>
          <w:color w:val="000000"/>
          <w:spacing w:val="0"/>
          <w:kern w:val="2"/>
          <w:sz w:val="31"/>
          <w:szCs w:val="31"/>
          <w:lang w:val="en-US" w:eastAsia="zh-CN" w:bidi="ar"/>
        </w:rPr>
        <w:t xml:space="preserve"> </w:t>
      </w:r>
    </w:p>
    <w:p w14:paraId="027FDCFE">
      <w:pPr>
        <w:keepNext w:val="0"/>
        <w:keepLines w:val="0"/>
        <w:widowControl/>
        <w:suppressLineNumbers w:val="0"/>
        <w:tabs>
          <w:tab w:val="left" w:pos="6761"/>
        </w:tabs>
        <w:kinsoku w:val="0"/>
        <w:autoSpaceDE w:val="0"/>
        <w:autoSpaceDN w:val="0"/>
        <w:adjustRightInd w:val="0"/>
        <w:snapToGrid w:val="0"/>
        <w:spacing w:before="0" w:beforeAutospacing="0" w:after="0" w:afterAutospacing="0"/>
        <w:ind w:left="0" w:right="0"/>
        <w:jc w:val="both"/>
        <w:textAlignment w:val="baseline"/>
        <w:rPr>
          <w:rFonts w:hint="eastAsia" w:ascii="宋体" w:hAnsi="宋体" w:eastAsia="宋体" w:cs="宋体"/>
          <w:color w:val="000000"/>
          <w:kern w:val="0"/>
          <w:sz w:val="24"/>
          <w:szCs w:val="24"/>
        </w:rPr>
      </w:pPr>
      <w:r>
        <w:rPr>
          <w:rFonts w:hint="eastAsia" w:ascii="宋体" w:hAnsi="宋体" w:eastAsia="宋体" w:cs="宋体"/>
          <w:snapToGrid/>
          <w:color w:val="000000"/>
          <w:kern w:val="0"/>
          <w:sz w:val="24"/>
          <w:szCs w:val="24"/>
          <w:lang w:val="en-US" w:eastAsia="zh-CN" w:bidi="ar"/>
        </w:rPr>
        <w:t xml:space="preserve"> </w:t>
      </w:r>
    </w:p>
    <w:p w14:paraId="5A5C216A">
      <w:pPr>
        <w:pStyle w:val="2"/>
        <w:rPr>
          <w:rFonts w:hint="eastAsia"/>
          <w:lang w:val="en-US" w:eastAsia="zh-CN"/>
        </w:rPr>
        <w:sectPr>
          <w:pgSz w:w="11906" w:h="16838"/>
          <w:pgMar w:top="1134" w:right="1531" w:bottom="1440" w:left="1531" w:header="851" w:footer="992" w:gutter="0"/>
          <w:pgNumType w:fmt="decimal"/>
          <w:cols w:space="0" w:num="1"/>
          <w:titlePg/>
          <w:rtlGutter w:val="0"/>
          <w:docGrid w:type="lines" w:linePitch="312" w:charSpace="0"/>
        </w:sectPr>
      </w:pPr>
    </w:p>
    <w:p w14:paraId="0226EF38">
      <w:pPr>
        <w:pStyle w:val="3"/>
        <w:numPr>
          <w:ilvl w:val="0"/>
          <w:numId w:val="3"/>
        </w:numPr>
        <w:bidi w:val="0"/>
        <w:rPr>
          <w:rFonts w:hint="eastAsia"/>
        </w:rPr>
      </w:pPr>
      <w:bookmarkStart w:id="318" w:name="_Toc30619"/>
      <w:bookmarkStart w:id="319" w:name="_Toc23034"/>
      <w:r>
        <w:rPr>
          <w:rFonts w:hint="eastAsia"/>
          <w:b/>
          <w:bCs w:val="0"/>
        </w:rPr>
        <w:t>评标方法及标准</w:t>
      </w:r>
      <w:bookmarkEnd w:id="318"/>
      <w:bookmarkEnd w:id="319"/>
    </w:p>
    <w:p w14:paraId="5DF8BBD6">
      <w:pPr>
        <w:numPr>
          <w:ilvl w:val="0"/>
          <w:numId w:val="0"/>
        </w:numPr>
        <w:jc w:val="both"/>
        <w:rPr>
          <w:rFonts w:hint="default" w:ascii="宋体" w:hAnsi="宋体" w:eastAsia="宋体"/>
          <w:b/>
          <w:color w:val="auto"/>
          <w:sz w:val="21"/>
          <w:szCs w:val="21"/>
          <w:lang w:val="en-US" w:eastAsia="zh-CN"/>
        </w:rPr>
      </w:pPr>
      <w:r>
        <w:rPr>
          <w:rFonts w:hint="eastAsia" w:ascii="宋体" w:hAnsi="宋体"/>
          <w:b/>
          <w:color w:val="auto"/>
          <w:sz w:val="21"/>
          <w:szCs w:val="21"/>
          <w:lang w:eastAsia="zh-CN"/>
        </w:rPr>
        <w:t>附</w:t>
      </w:r>
      <w:r>
        <w:rPr>
          <w:rFonts w:hint="eastAsia" w:ascii="宋体" w:hAnsi="宋体"/>
          <w:b/>
          <w:color w:val="auto"/>
          <w:sz w:val="21"/>
          <w:szCs w:val="21"/>
          <w:lang w:val="en-US" w:eastAsia="zh-CN"/>
        </w:rPr>
        <w:t>1</w:t>
      </w:r>
    </w:p>
    <w:p w14:paraId="62910241">
      <w:pPr>
        <w:jc w:val="center"/>
        <w:rPr>
          <w:rFonts w:hint="eastAsia" w:hAnsi="宋体" w:cs="宋体"/>
        </w:rPr>
      </w:pPr>
      <w:r>
        <w:rPr>
          <w:rFonts w:hint="eastAsia" w:ascii="宋体" w:hAnsi="宋体"/>
          <w:b/>
          <w:color w:val="auto"/>
          <w:sz w:val="28"/>
          <w:szCs w:val="28"/>
        </w:rPr>
        <w:t>评审因素和标准</w:t>
      </w:r>
    </w:p>
    <w:tbl>
      <w:tblPr>
        <w:tblStyle w:val="22"/>
        <w:tblW w:w="10218"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31"/>
        <w:gridCol w:w="1179"/>
        <w:gridCol w:w="7808"/>
      </w:tblGrid>
      <w:tr w14:paraId="40A1E7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96" w:hRule="atLeast"/>
          <w:jc w:val="center"/>
        </w:trPr>
        <w:tc>
          <w:tcPr>
            <w:tcW w:w="1231" w:type="dxa"/>
            <w:tcBorders>
              <w:right w:val="single" w:color="auto" w:sz="4" w:space="0"/>
            </w:tcBorders>
            <w:noWrap w:val="0"/>
            <w:vAlign w:val="center"/>
          </w:tcPr>
          <w:p w14:paraId="2287C30F">
            <w:pPr>
              <w:keepNext w:val="0"/>
              <w:keepLines w:val="0"/>
              <w:pageBreakBefore w:val="0"/>
              <w:widowControl w:val="0"/>
              <w:kinsoku/>
              <w:wordWrap/>
              <w:overflowPunct/>
              <w:topLinePunct w:val="0"/>
              <w:autoSpaceDE/>
              <w:autoSpaceDN/>
              <w:bidi w:val="0"/>
              <w:adjustRightInd w:val="0"/>
              <w:snapToGrid w:val="0"/>
              <w:spacing w:line="360" w:lineRule="auto"/>
              <w:jc w:val="both"/>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评审因素</w:t>
            </w:r>
          </w:p>
        </w:tc>
        <w:tc>
          <w:tcPr>
            <w:tcW w:w="1179" w:type="dxa"/>
            <w:tcBorders>
              <w:left w:val="single" w:color="auto" w:sz="4" w:space="0"/>
              <w:right w:val="single" w:color="auto" w:sz="4" w:space="0"/>
            </w:tcBorders>
            <w:noWrap w:val="0"/>
            <w:vAlign w:val="center"/>
          </w:tcPr>
          <w:p w14:paraId="5F3CC2C8">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b/>
                <w:color w:val="auto"/>
                <w:sz w:val="21"/>
                <w:szCs w:val="21"/>
                <w:lang w:eastAsia="zh-CN"/>
              </w:rPr>
            </w:pPr>
            <w:r>
              <w:rPr>
                <w:rFonts w:hint="eastAsia" w:ascii="宋体" w:hAnsi="宋体" w:eastAsia="宋体" w:cs="宋体"/>
                <w:b/>
                <w:color w:val="auto"/>
                <w:sz w:val="21"/>
                <w:szCs w:val="21"/>
                <w:lang w:val="en-US" w:eastAsia="zh-CN"/>
              </w:rPr>
              <w:t>分 值</w:t>
            </w:r>
          </w:p>
        </w:tc>
        <w:tc>
          <w:tcPr>
            <w:tcW w:w="7808" w:type="dxa"/>
            <w:tcBorders>
              <w:left w:val="single" w:color="auto" w:sz="4" w:space="0"/>
            </w:tcBorders>
            <w:noWrap w:val="0"/>
            <w:vAlign w:val="center"/>
          </w:tcPr>
          <w:p w14:paraId="7C23A7F8">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评</w:t>
            </w:r>
            <w:r>
              <w:rPr>
                <w:rFonts w:hint="eastAsia" w:ascii="宋体" w:hAnsi="宋体" w:eastAsia="宋体" w:cs="宋体"/>
                <w:b/>
                <w:color w:val="auto"/>
                <w:sz w:val="21"/>
                <w:szCs w:val="21"/>
                <w:lang w:eastAsia="zh-CN"/>
              </w:rPr>
              <w:t>分</w:t>
            </w:r>
            <w:r>
              <w:rPr>
                <w:rFonts w:hint="eastAsia" w:ascii="宋体" w:hAnsi="宋体" w:eastAsia="宋体" w:cs="宋体"/>
                <w:b/>
                <w:color w:val="auto"/>
                <w:sz w:val="21"/>
                <w:szCs w:val="21"/>
              </w:rPr>
              <w:t>标准</w:t>
            </w:r>
          </w:p>
        </w:tc>
      </w:tr>
      <w:tr w14:paraId="1D8554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460" w:hRule="atLeast"/>
          <w:jc w:val="center"/>
        </w:trPr>
        <w:tc>
          <w:tcPr>
            <w:tcW w:w="1231" w:type="dxa"/>
            <w:tcBorders>
              <w:right w:val="single" w:color="auto" w:sz="4" w:space="0"/>
            </w:tcBorders>
            <w:noWrap w:val="0"/>
            <w:vAlign w:val="center"/>
          </w:tcPr>
          <w:p w14:paraId="7FD2D6B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价格评价项</w:t>
            </w:r>
          </w:p>
          <w:p w14:paraId="029B303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vertAlign w:val="subscript"/>
              </w:rPr>
              <w:t>1</w:t>
            </w:r>
            <w:r>
              <w:rPr>
                <w:rFonts w:hint="eastAsia" w:ascii="宋体" w:hAnsi="宋体" w:eastAsia="宋体" w:cs="宋体"/>
                <w:color w:val="auto"/>
                <w:sz w:val="21"/>
                <w:szCs w:val="21"/>
                <w:lang w:val="en-US" w:eastAsia="zh-CN"/>
              </w:rPr>
              <w:t>=10分</w:t>
            </w:r>
            <w:r>
              <w:rPr>
                <w:rFonts w:hint="eastAsia" w:ascii="宋体" w:hAnsi="宋体" w:eastAsia="宋体" w:cs="宋体"/>
                <w:color w:val="auto"/>
                <w:sz w:val="21"/>
                <w:szCs w:val="21"/>
              </w:rPr>
              <w:t>）</w:t>
            </w:r>
          </w:p>
        </w:tc>
        <w:tc>
          <w:tcPr>
            <w:tcW w:w="1179" w:type="dxa"/>
            <w:tcBorders>
              <w:left w:val="single" w:color="auto" w:sz="4" w:space="0"/>
              <w:right w:val="single" w:color="auto" w:sz="4" w:space="0"/>
            </w:tcBorders>
            <w:noWrap w:val="0"/>
            <w:vAlign w:val="center"/>
          </w:tcPr>
          <w:p w14:paraId="23838623">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报价</w:t>
            </w:r>
          </w:p>
          <w:p w14:paraId="681BE695">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（10分）</w:t>
            </w:r>
          </w:p>
        </w:tc>
        <w:tc>
          <w:tcPr>
            <w:tcW w:w="7808" w:type="dxa"/>
            <w:tcBorders>
              <w:left w:val="single" w:color="auto" w:sz="4" w:space="0"/>
            </w:tcBorders>
            <w:noWrap w:val="0"/>
            <w:vAlign w:val="center"/>
          </w:tcPr>
          <w:p w14:paraId="572A65CD">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满足</w:t>
            </w:r>
            <w:r>
              <w:rPr>
                <w:rFonts w:hint="eastAsia" w:ascii="宋体" w:hAnsi="宋体" w:eastAsia="宋体" w:cs="宋体"/>
                <w:color w:val="auto"/>
                <w:sz w:val="21"/>
                <w:szCs w:val="21"/>
                <w:lang w:val="en-US" w:eastAsia="zh-CN"/>
              </w:rPr>
              <w:t>磋商</w:t>
            </w:r>
            <w:r>
              <w:rPr>
                <w:rFonts w:hint="eastAsia" w:ascii="宋体" w:hAnsi="宋体" w:eastAsia="宋体" w:cs="宋体"/>
                <w:color w:val="auto"/>
                <w:sz w:val="21"/>
                <w:szCs w:val="21"/>
              </w:rPr>
              <w:t>文件要求且</w:t>
            </w:r>
            <w:r>
              <w:rPr>
                <w:rFonts w:hint="eastAsia" w:ascii="宋体" w:hAnsi="宋体" w:eastAsia="宋体" w:cs="宋体"/>
                <w:color w:val="auto"/>
                <w:sz w:val="21"/>
                <w:szCs w:val="21"/>
                <w:lang w:val="en-US" w:eastAsia="zh-CN"/>
              </w:rPr>
              <w:t>最后报价</w:t>
            </w:r>
            <w:r>
              <w:rPr>
                <w:rFonts w:hint="eastAsia" w:ascii="宋体" w:hAnsi="宋体" w:eastAsia="宋体" w:cs="宋体"/>
                <w:color w:val="auto"/>
                <w:sz w:val="21"/>
                <w:szCs w:val="21"/>
              </w:rPr>
              <w:t>最低的</w:t>
            </w:r>
            <w:r>
              <w:rPr>
                <w:rFonts w:hint="eastAsia" w:ascii="宋体" w:hAnsi="宋体" w:eastAsia="宋体" w:cs="宋体"/>
                <w:color w:val="auto"/>
                <w:sz w:val="21"/>
                <w:szCs w:val="21"/>
                <w:lang w:val="en-US" w:eastAsia="zh-CN"/>
              </w:rPr>
              <w:t>价格</w:t>
            </w:r>
            <w:r>
              <w:rPr>
                <w:rFonts w:hint="eastAsia" w:ascii="宋体" w:hAnsi="宋体" w:eastAsia="宋体" w:cs="宋体"/>
                <w:color w:val="auto"/>
                <w:sz w:val="21"/>
                <w:szCs w:val="21"/>
              </w:rPr>
              <w:t>为</w:t>
            </w:r>
            <w:r>
              <w:rPr>
                <w:rFonts w:hint="eastAsia" w:ascii="宋体" w:hAnsi="宋体" w:eastAsia="宋体" w:cs="宋体"/>
                <w:color w:val="auto"/>
                <w:sz w:val="21"/>
                <w:szCs w:val="21"/>
                <w:lang w:val="en-US" w:eastAsia="zh-CN"/>
              </w:rPr>
              <w:t>磋商</w:t>
            </w:r>
            <w:r>
              <w:rPr>
                <w:rFonts w:hint="eastAsia" w:ascii="宋体" w:hAnsi="宋体" w:eastAsia="宋体" w:cs="宋体"/>
                <w:color w:val="auto"/>
                <w:sz w:val="21"/>
                <w:szCs w:val="21"/>
              </w:rPr>
              <w:t>基准价，其价格分为满分。其他</w:t>
            </w:r>
            <w:r>
              <w:rPr>
                <w:rFonts w:hint="eastAsia" w:ascii="宋体" w:hAnsi="宋体" w:eastAsia="宋体" w:cs="宋体"/>
                <w:color w:val="auto"/>
                <w:sz w:val="21"/>
                <w:szCs w:val="21"/>
                <w:lang w:val="en-US" w:eastAsia="zh-CN"/>
              </w:rPr>
              <w:t>供应商</w:t>
            </w:r>
            <w:r>
              <w:rPr>
                <w:rFonts w:hint="eastAsia" w:ascii="宋体" w:hAnsi="宋体" w:eastAsia="宋体" w:cs="宋体"/>
                <w:color w:val="auto"/>
                <w:sz w:val="21"/>
                <w:szCs w:val="21"/>
              </w:rPr>
              <w:t>的价格分统一按照下列公式计算：</w:t>
            </w:r>
          </w:p>
          <w:p w14:paraId="592D47D3">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磋商报价得分=（磋商基准价/最后磋商报价）×</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0</w:t>
            </w:r>
          </w:p>
        </w:tc>
      </w:tr>
      <w:tr w14:paraId="22E0B4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94" w:hRule="atLeast"/>
          <w:jc w:val="center"/>
        </w:trPr>
        <w:tc>
          <w:tcPr>
            <w:tcW w:w="1231" w:type="dxa"/>
            <w:vMerge w:val="restart"/>
            <w:tcBorders>
              <w:right w:val="single" w:color="auto" w:sz="4" w:space="0"/>
            </w:tcBorders>
            <w:noWrap w:val="0"/>
            <w:vAlign w:val="center"/>
          </w:tcPr>
          <w:p w14:paraId="353D6264">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技术评价项</w:t>
            </w:r>
          </w:p>
          <w:p w14:paraId="1ED0DD00">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vertAlign w:val="subscript"/>
              </w:rPr>
              <w:t>2</w:t>
            </w:r>
            <w:r>
              <w:rPr>
                <w:rFonts w:hint="eastAsia" w:ascii="宋体" w:hAnsi="宋体" w:eastAsia="宋体" w:cs="宋体"/>
                <w:color w:val="auto"/>
                <w:sz w:val="21"/>
                <w:szCs w:val="21"/>
                <w:lang w:val="en-US" w:eastAsia="zh-CN"/>
              </w:rPr>
              <w:t>=60分</w:t>
            </w:r>
            <w:r>
              <w:rPr>
                <w:rFonts w:hint="eastAsia" w:ascii="宋体" w:hAnsi="宋体" w:eastAsia="宋体" w:cs="宋体"/>
                <w:color w:val="auto"/>
                <w:sz w:val="21"/>
                <w:szCs w:val="21"/>
              </w:rPr>
              <w:t>）</w:t>
            </w:r>
          </w:p>
        </w:tc>
        <w:tc>
          <w:tcPr>
            <w:tcW w:w="1179" w:type="dxa"/>
            <w:tcBorders>
              <w:left w:val="single" w:color="auto" w:sz="4" w:space="0"/>
              <w:bottom w:val="single" w:color="auto" w:sz="4" w:space="0"/>
            </w:tcBorders>
            <w:noWrap w:val="0"/>
            <w:vAlign w:val="center"/>
          </w:tcPr>
          <w:p w14:paraId="54241211">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实施方案与技术措施</w:t>
            </w:r>
          </w:p>
          <w:p w14:paraId="33020887">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18分</w:t>
            </w:r>
            <w:r>
              <w:rPr>
                <w:rFonts w:hint="eastAsia" w:ascii="宋体" w:hAnsi="宋体" w:eastAsia="宋体" w:cs="宋体"/>
                <w:color w:val="auto"/>
                <w:sz w:val="21"/>
                <w:szCs w:val="21"/>
                <w:highlight w:val="none"/>
                <w:lang w:eastAsia="zh-CN"/>
              </w:rPr>
              <w:t>）</w:t>
            </w:r>
          </w:p>
        </w:tc>
        <w:tc>
          <w:tcPr>
            <w:tcW w:w="7808" w:type="dxa"/>
            <w:tcBorders>
              <w:bottom w:val="single" w:color="auto" w:sz="4" w:space="0"/>
            </w:tcBorders>
            <w:noWrap w:val="0"/>
            <w:vAlign w:val="center"/>
          </w:tcPr>
          <w:p w14:paraId="6472128F">
            <w:pPr>
              <w:keepNext w:val="0"/>
              <w:keepLines w:val="0"/>
              <w:pageBreakBefore w:val="0"/>
              <w:widowControl w:val="0"/>
              <w:kinsoku/>
              <w:wordWrap/>
              <w:overflowPunct/>
              <w:topLinePunct w:val="0"/>
              <w:autoSpaceDE/>
              <w:autoSpaceDN/>
              <w:bidi w:val="0"/>
              <w:adjustRightInd w:val="0"/>
              <w:snapToGrid w:val="0"/>
              <w:spacing w:line="360" w:lineRule="auto"/>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依据本项目特点阐述其实施方案与技术措施，包括但不限于①实施顺序安排、②实施现场布置、③实施现场人员安排、④实施设备配置安排、⑤实施工艺、⑥提供完整的技术保障措施。</w:t>
            </w:r>
          </w:p>
          <w:p w14:paraId="734917BE">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spacing w:val="-1"/>
                <w:sz w:val="21"/>
                <w:szCs w:val="21"/>
              </w:rPr>
            </w:pPr>
            <w:r>
              <w:rPr>
                <w:rFonts w:hint="eastAsia" w:ascii="宋体" w:hAnsi="宋体" w:eastAsia="宋体" w:cs="宋体"/>
                <w:spacing w:val="-1"/>
                <w:sz w:val="21"/>
                <w:szCs w:val="21"/>
              </w:rPr>
              <w:t xml:space="preserve">方案内容完整、思路清晰、安排科学合理、措施完善、针对性强的计 </w:t>
            </w:r>
            <w:r>
              <w:rPr>
                <w:rFonts w:hint="eastAsia" w:ascii="宋体" w:hAnsi="宋体" w:eastAsia="宋体" w:cs="宋体"/>
                <w:spacing w:val="-1"/>
                <w:sz w:val="21"/>
                <w:szCs w:val="21"/>
                <w:lang w:val="en-US" w:eastAsia="zh-CN"/>
              </w:rPr>
              <w:t>18</w:t>
            </w:r>
            <w:r>
              <w:rPr>
                <w:rFonts w:hint="eastAsia" w:ascii="宋体" w:hAnsi="宋体" w:eastAsia="宋体" w:cs="宋体"/>
                <w:spacing w:val="-1"/>
                <w:sz w:val="21"/>
                <w:szCs w:val="21"/>
              </w:rPr>
              <w:t xml:space="preserve">分，每有一项有缺失或不完整或不合理的扣 </w:t>
            </w:r>
            <w:r>
              <w:rPr>
                <w:rFonts w:hint="eastAsia" w:ascii="宋体" w:hAnsi="宋体" w:eastAsia="宋体" w:cs="宋体"/>
                <w:spacing w:val="-1"/>
                <w:sz w:val="21"/>
                <w:szCs w:val="21"/>
                <w:lang w:val="en-US" w:eastAsia="zh-CN"/>
              </w:rPr>
              <w:t>3</w:t>
            </w:r>
            <w:r>
              <w:rPr>
                <w:rFonts w:hint="eastAsia" w:ascii="宋体" w:hAnsi="宋体" w:eastAsia="宋体" w:cs="宋体"/>
                <w:spacing w:val="-1"/>
                <w:sz w:val="21"/>
                <w:szCs w:val="21"/>
              </w:rPr>
              <w:t>分，扣完为止，未提供的不计分。</w:t>
            </w:r>
          </w:p>
          <w:p w14:paraId="1DD1D10E">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sz w:val="21"/>
                <w:szCs w:val="21"/>
                <w:lang w:val="en-US" w:eastAsia="zh-CN"/>
              </w:rPr>
            </w:pPr>
            <w:r>
              <w:rPr>
                <w:rFonts w:hint="eastAsia" w:ascii="宋体" w:hAnsi="宋体" w:eastAsia="宋体" w:cs="宋体"/>
                <w:spacing w:val="-1"/>
                <w:sz w:val="21"/>
                <w:szCs w:val="21"/>
              </w:rPr>
              <w:t>（注：有缺失是指未提供对应内容，不完整或不合理是指套用其他项目方案、照搬采购需求、内容具有明显缺陷、存在逻辑漏洞、前后内容无法连贯、脱离了实际情况、适用性差以及与本项目无关等情况。）</w:t>
            </w:r>
          </w:p>
        </w:tc>
      </w:tr>
      <w:tr w14:paraId="6574C5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65" w:hRule="atLeast"/>
          <w:jc w:val="center"/>
        </w:trPr>
        <w:tc>
          <w:tcPr>
            <w:tcW w:w="1231" w:type="dxa"/>
            <w:vMerge w:val="continue"/>
            <w:tcBorders>
              <w:right w:val="single" w:color="auto" w:sz="4" w:space="0"/>
            </w:tcBorders>
            <w:noWrap w:val="0"/>
            <w:vAlign w:val="center"/>
          </w:tcPr>
          <w:p w14:paraId="2671B58B">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rPr>
            </w:pPr>
          </w:p>
        </w:tc>
        <w:tc>
          <w:tcPr>
            <w:tcW w:w="1179" w:type="dxa"/>
            <w:tcBorders>
              <w:top w:val="single" w:color="auto" w:sz="4" w:space="0"/>
              <w:left w:val="single" w:color="auto" w:sz="4" w:space="0"/>
            </w:tcBorders>
            <w:noWrap w:val="0"/>
            <w:vAlign w:val="center"/>
          </w:tcPr>
          <w:p w14:paraId="7640911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施工进度计划及措施</w:t>
            </w:r>
          </w:p>
          <w:p w14:paraId="4456946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baseline"/>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12分</w:t>
            </w:r>
            <w:r>
              <w:rPr>
                <w:rFonts w:hint="eastAsia" w:ascii="宋体" w:hAnsi="宋体" w:eastAsia="宋体" w:cs="宋体"/>
                <w:color w:val="auto"/>
                <w:sz w:val="21"/>
                <w:szCs w:val="21"/>
                <w:highlight w:val="none"/>
                <w:lang w:eastAsia="zh-CN"/>
              </w:rPr>
              <w:t>）</w:t>
            </w:r>
          </w:p>
        </w:tc>
        <w:tc>
          <w:tcPr>
            <w:tcW w:w="7808" w:type="dxa"/>
            <w:tcBorders>
              <w:top w:val="single" w:color="auto" w:sz="4" w:space="0"/>
            </w:tcBorders>
            <w:noWrap w:val="0"/>
            <w:vAlign w:val="center"/>
          </w:tcPr>
          <w:p w14:paraId="522EF62E">
            <w:pPr>
              <w:keepNext w:val="0"/>
              <w:keepLines w:val="0"/>
              <w:pageBreakBefore w:val="0"/>
              <w:widowControl w:val="0"/>
              <w:kinsoku/>
              <w:wordWrap/>
              <w:overflowPunct/>
              <w:topLinePunct w:val="0"/>
              <w:autoSpaceDE/>
              <w:autoSpaceDN/>
              <w:bidi w:val="0"/>
              <w:adjustRightInd w:val="0"/>
              <w:snapToGrid w:val="0"/>
              <w:spacing w:line="360" w:lineRule="auto"/>
              <w:jc w:val="left"/>
              <w:textAlignment w:val="baseline"/>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根据供应商提供的工程进度计划与保证措施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包括但不限于①施工进度计划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②进度保障措施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③资源配备计划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④工期保证措施</w:t>
            </w:r>
            <w:r>
              <w:rPr>
                <w:rFonts w:hint="eastAsia" w:ascii="宋体" w:hAnsi="宋体" w:eastAsia="宋体" w:cs="宋体"/>
                <w:color w:val="auto"/>
                <w:sz w:val="21"/>
                <w:szCs w:val="21"/>
                <w:highlight w:val="none"/>
                <w:lang w:eastAsia="zh-CN"/>
              </w:rPr>
              <w:t>。</w:t>
            </w:r>
          </w:p>
          <w:p w14:paraId="5D3A1523">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spacing w:val="-1"/>
                <w:sz w:val="21"/>
                <w:szCs w:val="21"/>
              </w:rPr>
            </w:pPr>
            <w:r>
              <w:rPr>
                <w:rFonts w:hint="eastAsia" w:ascii="宋体" w:hAnsi="宋体" w:eastAsia="宋体" w:cs="宋体"/>
                <w:spacing w:val="-1"/>
                <w:sz w:val="21"/>
                <w:szCs w:val="21"/>
              </w:rPr>
              <w:t xml:space="preserve">方案内容完整、思路清晰、安排科学合理、措施完善、针对性强的计 </w:t>
            </w:r>
            <w:r>
              <w:rPr>
                <w:rFonts w:hint="eastAsia" w:ascii="宋体" w:hAnsi="宋体" w:eastAsia="宋体" w:cs="宋体"/>
                <w:spacing w:val="-1"/>
                <w:sz w:val="21"/>
                <w:szCs w:val="21"/>
                <w:lang w:val="en-US" w:eastAsia="zh-CN"/>
              </w:rPr>
              <w:t>12</w:t>
            </w:r>
            <w:r>
              <w:rPr>
                <w:rFonts w:hint="eastAsia" w:ascii="宋体" w:hAnsi="宋体" w:eastAsia="宋体" w:cs="宋体"/>
                <w:spacing w:val="-1"/>
                <w:sz w:val="21"/>
                <w:szCs w:val="21"/>
              </w:rPr>
              <w:t xml:space="preserve">分，每有一项有缺失或不完整或不合理的扣 </w:t>
            </w:r>
            <w:r>
              <w:rPr>
                <w:rFonts w:hint="eastAsia" w:ascii="宋体" w:hAnsi="宋体" w:eastAsia="宋体" w:cs="宋体"/>
                <w:spacing w:val="-1"/>
                <w:sz w:val="21"/>
                <w:szCs w:val="21"/>
                <w:lang w:val="en-US" w:eastAsia="zh-CN"/>
              </w:rPr>
              <w:t>3</w:t>
            </w:r>
            <w:r>
              <w:rPr>
                <w:rFonts w:hint="eastAsia" w:ascii="宋体" w:hAnsi="宋体" w:eastAsia="宋体" w:cs="宋体"/>
                <w:spacing w:val="-1"/>
                <w:sz w:val="21"/>
                <w:szCs w:val="21"/>
              </w:rPr>
              <w:t>分，扣完为止，未提供的不计分。</w:t>
            </w:r>
          </w:p>
          <w:p w14:paraId="5F8AFF21">
            <w:pPr>
              <w:keepNext w:val="0"/>
              <w:keepLines w:val="0"/>
              <w:pageBreakBefore w:val="0"/>
              <w:widowControl w:val="0"/>
              <w:kinsoku/>
              <w:wordWrap/>
              <w:overflowPunct/>
              <w:topLinePunct w:val="0"/>
              <w:autoSpaceDE/>
              <w:autoSpaceDN/>
              <w:bidi w:val="0"/>
              <w:adjustRightInd w:val="0"/>
              <w:snapToGrid w:val="0"/>
              <w:spacing w:line="360" w:lineRule="auto"/>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spacing w:val="-1"/>
                <w:sz w:val="21"/>
                <w:szCs w:val="21"/>
              </w:rPr>
              <w:t>（注：有缺失是指未提供对应内容，不完整或不合理是指套用其他项目方案、照搬采购需求、内容具有明显缺陷、存在逻辑漏洞、前后内容无法连贯、脱离了实际情况、适用性差以及与本项目无关等情况。）</w:t>
            </w:r>
          </w:p>
        </w:tc>
      </w:tr>
      <w:tr w14:paraId="163F73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476" w:hRule="atLeast"/>
          <w:jc w:val="center"/>
        </w:trPr>
        <w:tc>
          <w:tcPr>
            <w:tcW w:w="1231" w:type="dxa"/>
            <w:vMerge w:val="continue"/>
            <w:tcBorders>
              <w:right w:val="single" w:color="auto" w:sz="4" w:space="0"/>
            </w:tcBorders>
            <w:noWrap w:val="0"/>
            <w:vAlign w:val="center"/>
          </w:tcPr>
          <w:p w14:paraId="31D80E1C">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rPr>
            </w:pPr>
          </w:p>
        </w:tc>
        <w:tc>
          <w:tcPr>
            <w:tcW w:w="1179" w:type="dxa"/>
            <w:tcBorders>
              <w:top w:val="single" w:color="auto" w:sz="4" w:space="0"/>
              <w:left w:val="single" w:color="auto" w:sz="4" w:space="0"/>
            </w:tcBorders>
            <w:noWrap w:val="0"/>
            <w:vAlign w:val="center"/>
          </w:tcPr>
          <w:p w14:paraId="1220F7E5">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文明作业保障措施</w:t>
            </w:r>
          </w:p>
          <w:p w14:paraId="3692DA3E">
            <w:pPr>
              <w:pStyle w:val="2"/>
              <w:keepNext w:val="0"/>
              <w:keepLines w:val="0"/>
              <w:pageBreakBefore w:val="0"/>
              <w:widowControl w:val="0"/>
              <w:kinsoku/>
              <w:wordWrap/>
              <w:overflowPunct/>
              <w:topLinePunct w:val="0"/>
              <w:autoSpaceDE/>
              <w:autoSpaceDN/>
              <w:bidi w:val="0"/>
              <w:spacing w:after="0" w:line="360" w:lineRule="auto"/>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12分</w:t>
            </w:r>
            <w:r>
              <w:rPr>
                <w:rFonts w:hint="eastAsia" w:ascii="宋体" w:hAnsi="宋体" w:eastAsia="宋体" w:cs="宋体"/>
                <w:color w:val="auto"/>
                <w:sz w:val="21"/>
                <w:szCs w:val="21"/>
                <w:highlight w:val="none"/>
                <w:lang w:eastAsia="zh-CN"/>
              </w:rPr>
              <w:t>）</w:t>
            </w:r>
          </w:p>
        </w:tc>
        <w:tc>
          <w:tcPr>
            <w:tcW w:w="7808" w:type="dxa"/>
            <w:tcBorders>
              <w:top w:val="single" w:color="auto" w:sz="4" w:space="0"/>
            </w:tcBorders>
            <w:noWrap w:val="0"/>
            <w:vAlign w:val="center"/>
          </w:tcPr>
          <w:p w14:paraId="6D80C09D">
            <w:pPr>
              <w:keepNext w:val="0"/>
              <w:keepLines w:val="0"/>
              <w:pageBreakBefore w:val="0"/>
              <w:widowControl w:val="0"/>
              <w:kinsoku/>
              <w:wordWrap/>
              <w:overflowPunct/>
              <w:topLinePunct w:val="0"/>
              <w:autoSpaceDE/>
              <w:autoSpaceDN/>
              <w:bidi w:val="0"/>
              <w:adjustRightInd w:val="0"/>
              <w:snapToGrid w:val="0"/>
              <w:spacing w:line="360" w:lineRule="auto"/>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依据本项目特点提供的文明作业保障措施，包括但不限于①人员工作纪律、②噪音控制措施、③扬尘控制措施、④材料堆放处理。</w:t>
            </w:r>
          </w:p>
          <w:p w14:paraId="2C2CFFE1">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spacing w:val="-1"/>
                <w:sz w:val="21"/>
                <w:szCs w:val="21"/>
              </w:rPr>
            </w:pPr>
            <w:r>
              <w:rPr>
                <w:rFonts w:hint="eastAsia" w:ascii="宋体" w:hAnsi="宋体" w:eastAsia="宋体" w:cs="宋体"/>
                <w:spacing w:val="-1"/>
                <w:sz w:val="21"/>
                <w:szCs w:val="21"/>
              </w:rPr>
              <w:t xml:space="preserve">方案内容完整、思路清晰、安排科学合理、措施完善、针对性强的计 </w:t>
            </w:r>
            <w:r>
              <w:rPr>
                <w:rFonts w:hint="eastAsia" w:ascii="宋体" w:hAnsi="宋体" w:eastAsia="宋体" w:cs="宋体"/>
                <w:spacing w:val="-1"/>
                <w:sz w:val="21"/>
                <w:szCs w:val="21"/>
                <w:lang w:val="en-US" w:eastAsia="zh-CN"/>
              </w:rPr>
              <w:t>12</w:t>
            </w:r>
            <w:r>
              <w:rPr>
                <w:rFonts w:hint="eastAsia" w:ascii="宋体" w:hAnsi="宋体" w:eastAsia="宋体" w:cs="宋体"/>
                <w:spacing w:val="-1"/>
                <w:sz w:val="21"/>
                <w:szCs w:val="21"/>
              </w:rPr>
              <w:t xml:space="preserve">分，每有一项有缺失或不完整或不合理的扣 </w:t>
            </w:r>
            <w:r>
              <w:rPr>
                <w:rFonts w:hint="eastAsia" w:ascii="宋体" w:hAnsi="宋体" w:eastAsia="宋体" w:cs="宋体"/>
                <w:spacing w:val="-1"/>
                <w:sz w:val="21"/>
                <w:szCs w:val="21"/>
                <w:lang w:val="en-US" w:eastAsia="zh-CN"/>
              </w:rPr>
              <w:t>3</w:t>
            </w:r>
            <w:r>
              <w:rPr>
                <w:rFonts w:hint="eastAsia" w:ascii="宋体" w:hAnsi="宋体" w:eastAsia="宋体" w:cs="宋体"/>
                <w:spacing w:val="-1"/>
                <w:sz w:val="21"/>
                <w:szCs w:val="21"/>
              </w:rPr>
              <w:t>分，扣完为止，未提供的不计分。</w:t>
            </w:r>
          </w:p>
          <w:p w14:paraId="76C73589">
            <w:pPr>
              <w:pStyle w:val="2"/>
              <w:keepNext w:val="0"/>
              <w:keepLines w:val="0"/>
              <w:pageBreakBefore w:val="0"/>
              <w:widowControl w:val="0"/>
              <w:kinsoku/>
              <w:wordWrap/>
              <w:overflowPunct/>
              <w:topLinePunct w:val="0"/>
              <w:autoSpaceDE/>
              <w:autoSpaceDN/>
              <w:bidi w:val="0"/>
              <w:spacing w:after="0" w:line="360" w:lineRule="auto"/>
              <w:rPr>
                <w:rFonts w:hint="eastAsia" w:ascii="宋体" w:hAnsi="宋体" w:eastAsia="宋体" w:cs="宋体"/>
                <w:sz w:val="21"/>
                <w:szCs w:val="21"/>
                <w:lang w:val="en-US" w:eastAsia="zh-CN"/>
              </w:rPr>
            </w:pPr>
            <w:r>
              <w:rPr>
                <w:rFonts w:hint="eastAsia" w:ascii="宋体" w:hAnsi="宋体" w:eastAsia="宋体" w:cs="宋体"/>
                <w:spacing w:val="-1"/>
                <w:sz w:val="21"/>
                <w:szCs w:val="21"/>
              </w:rPr>
              <w:t>（注：有缺失是指未提供对应内容，不完整或不合理是指套用其他项目方案、照搬采购需求、内容具有明显缺陷、存在逻辑漏洞、前后内容无法连贯、脱离了实际情况、适用性差以及与本项目无关等情况。）</w:t>
            </w:r>
          </w:p>
        </w:tc>
      </w:tr>
      <w:tr w14:paraId="27876C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64" w:hRule="atLeast"/>
          <w:jc w:val="center"/>
        </w:trPr>
        <w:tc>
          <w:tcPr>
            <w:tcW w:w="1231" w:type="dxa"/>
            <w:vMerge w:val="continue"/>
            <w:tcBorders>
              <w:right w:val="single" w:color="auto" w:sz="4" w:space="0"/>
            </w:tcBorders>
            <w:noWrap w:val="0"/>
            <w:vAlign w:val="center"/>
          </w:tcPr>
          <w:p w14:paraId="1AA10B2E">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rPr>
            </w:pPr>
          </w:p>
        </w:tc>
        <w:tc>
          <w:tcPr>
            <w:tcW w:w="1179" w:type="dxa"/>
            <w:tcBorders>
              <w:top w:val="single" w:color="auto" w:sz="4" w:space="0"/>
              <w:left w:val="single" w:color="auto" w:sz="4" w:space="0"/>
            </w:tcBorders>
            <w:noWrap w:val="0"/>
            <w:vAlign w:val="center"/>
          </w:tcPr>
          <w:p w14:paraId="07D19EB0">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安全及质量保证措施</w:t>
            </w:r>
          </w:p>
          <w:p w14:paraId="76BB7845">
            <w:pPr>
              <w:pStyle w:val="2"/>
              <w:keepNext w:val="0"/>
              <w:keepLines w:val="0"/>
              <w:pageBreakBefore w:val="0"/>
              <w:widowControl w:val="0"/>
              <w:kinsoku/>
              <w:wordWrap/>
              <w:overflowPunct/>
              <w:topLinePunct w:val="0"/>
              <w:autoSpaceDE/>
              <w:autoSpaceDN/>
              <w:bidi w:val="0"/>
              <w:spacing w:after="0" w:line="360" w:lineRule="auto"/>
              <w:rPr>
                <w:rFonts w:hint="eastAsia" w:ascii="宋体" w:hAnsi="宋体" w:eastAsia="宋体" w:cs="宋体"/>
                <w:sz w:val="21"/>
                <w:szCs w:val="21"/>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8分</w:t>
            </w:r>
            <w:r>
              <w:rPr>
                <w:rFonts w:hint="eastAsia" w:ascii="宋体" w:hAnsi="宋体" w:eastAsia="宋体" w:cs="宋体"/>
                <w:color w:val="auto"/>
                <w:sz w:val="21"/>
                <w:szCs w:val="21"/>
                <w:highlight w:val="none"/>
                <w:lang w:eastAsia="zh-CN"/>
              </w:rPr>
              <w:t>）</w:t>
            </w:r>
          </w:p>
        </w:tc>
        <w:tc>
          <w:tcPr>
            <w:tcW w:w="7808" w:type="dxa"/>
            <w:tcBorders>
              <w:top w:val="single" w:color="auto" w:sz="4" w:space="0"/>
            </w:tcBorders>
            <w:noWrap w:val="0"/>
            <w:vAlign w:val="center"/>
          </w:tcPr>
          <w:p w14:paraId="1CA8DB8A">
            <w:pPr>
              <w:keepNext w:val="0"/>
              <w:keepLines w:val="0"/>
              <w:pageBreakBefore w:val="0"/>
              <w:widowControl w:val="0"/>
              <w:kinsoku/>
              <w:wordWrap/>
              <w:overflowPunct/>
              <w:topLinePunct w:val="0"/>
              <w:autoSpaceDE/>
              <w:autoSpaceDN/>
              <w:bidi w:val="0"/>
              <w:adjustRightInd w:val="0"/>
              <w:snapToGrid w:val="0"/>
              <w:spacing w:line="360" w:lineRule="auto"/>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依据本项目特点提供的安全及质量保证措施，包括但不限于①安全保障措施；②服务质量保证措施。</w:t>
            </w:r>
          </w:p>
          <w:p w14:paraId="26E97C68">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spacing w:val="-1"/>
                <w:sz w:val="21"/>
                <w:szCs w:val="21"/>
              </w:rPr>
            </w:pPr>
            <w:r>
              <w:rPr>
                <w:rFonts w:hint="eastAsia" w:ascii="宋体" w:hAnsi="宋体" w:eastAsia="宋体" w:cs="宋体"/>
                <w:spacing w:val="-1"/>
                <w:sz w:val="21"/>
                <w:szCs w:val="21"/>
              </w:rPr>
              <w:t xml:space="preserve">方案内容完整、思路清晰、安排科学合理、措施完善、针对性强的计 </w:t>
            </w:r>
            <w:r>
              <w:rPr>
                <w:rFonts w:hint="eastAsia" w:ascii="宋体" w:hAnsi="宋体" w:eastAsia="宋体" w:cs="宋体"/>
                <w:spacing w:val="-1"/>
                <w:sz w:val="21"/>
                <w:szCs w:val="21"/>
                <w:lang w:val="en-US" w:eastAsia="zh-CN"/>
              </w:rPr>
              <w:t>8</w:t>
            </w:r>
            <w:r>
              <w:rPr>
                <w:rFonts w:hint="eastAsia" w:ascii="宋体" w:hAnsi="宋体" w:eastAsia="宋体" w:cs="宋体"/>
                <w:spacing w:val="-1"/>
                <w:sz w:val="21"/>
                <w:szCs w:val="21"/>
              </w:rPr>
              <w:t>分，每有一项有缺失或不完整或不合理的扣</w:t>
            </w:r>
            <w:r>
              <w:rPr>
                <w:rFonts w:hint="eastAsia" w:ascii="宋体" w:hAnsi="宋体" w:eastAsia="宋体" w:cs="宋体"/>
                <w:spacing w:val="-1"/>
                <w:sz w:val="21"/>
                <w:szCs w:val="21"/>
                <w:lang w:val="en-US" w:eastAsia="zh-CN"/>
              </w:rPr>
              <w:t>4</w:t>
            </w:r>
            <w:r>
              <w:rPr>
                <w:rFonts w:hint="eastAsia" w:ascii="宋体" w:hAnsi="宋体" w:eastAsia="宋体" w:cs="宋体"/>
                <w:spacing w:val="-1"/>
                <w:sz w:val="21"/>
                <w:szCs w:val="21"/>
              </w:rPr>
              <w:t>分，扣完为止，未提供的不计分。</w:t>
            </w:r>
          </w:p>
          <w:p w14:paraId="64725D21">
            <w:pPr>
              <w:keepNext w:val="0"/>
              <w:keepLines w:val="0"/>
              <w:pageBreakBefore w:val="0"/>
              <w:widowControl w:val="0"/>
              <w:kinsoku/>
              <w:wordWrap/>
              <w:overflowPunct/>
              <w:topLinePunct w:val="0"/>
              <w:autoSpaceDE/>
              <w:autoSpaceDN/>
              <w:bidi w:val="0"/>
              <w:adjustRightInd w:val="0"/>
              <w:snapToGrid w:val="0"/>
              <w:spacing w:line="360" w:lineRule="auto"/>
              <w:jc w:val="left"/>
              <w:textAlignment w:val="baseline"/>
              <w:rPr>
                <w:rFonts w:hint="eastAsia" w:ascii="宋体" w:hAnsi="宋体" w:eastAsia="宋体" w:cs="宋体"/>
                <w:color w:val="auto"/>
                <w:sz w:val="21"/>
                <w:szCs w:val="21"/>
                <w:lang w:val="en-US" w:eastAsia="zh-CN" w:bidi="ar-SA"/>
              </w:rPr>
            </w:pPr>
            <w:r>
              <w:rPr>
                <w:rFonts w:hint="eastAsia" w:ascii="宋体" w:hAnsi="宋体" w:eastAsia="宋体" w:cs="宋体"/>
                <w:spacing w:val="-1"/>
                <w:sz w:val="21"/>
                <w:szCs w:val="21"/>
              </w:rPr>
              <w:t>（注：有缺失是指未提供对应内容，不完整或不合理是指套用其他项目方案、照搬采购需求、内容具有明显缺陷、存在逻辑漏洞、前后内容无法连贯、脱离了实际情况、适用性差以及与本项目无关等情况。）</w:t>
            </w:r>
          </w:p>
        </w:tc>
      </w:tr>
      <w:tr w14:paraId="370436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518" w:hRule="atLeast"/>
          <w:jc w:val="center"/>
        </w:trPr>
        <w:tc>
          <w:tcPr>
            <w:tcW w:w="1231" w:type="dxa"/>
            <w:vMerge w:val="continue"/>
            <w:tcBorders>
              <w:right w:val="single" w:color="auto" w:sz="4" w:space="0"/>
            </w:tcBorders>
            <w:noWrap w:val="0"/>
            <w:vAlign w:val="center"/>
          </w:tcPr>
          <w:p w14:paraId="4183790F">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rPr>
            </w:pPr>
          </w:p>
        </w:tc>
        <w:tc>
          <w:tcPr>
            <w:tcW w:w="1179" w:type="dxa"/>
            <w:tcBorders>
              <w:top w:val="single" w:color="auto" w:sz="4" w:space="0"/>
              <w:left w:val="single" w:color="auto" w:sz="4" w:space="0"/>
            </w:tcBorders>
            <w:noWrap w:val="0"/>
            <w:vAlign w:val="center"/>
          </w:tcPr>
          <w:p w14:paraId="2904AA97">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应急处置保障方案</w:t>
            </w:r>
          </w:p>
          <w:p w14:paraId="4BE40608">
            <w:pPr>
              <w:pStyle w:val="2"/>
              <w:keepNext w:val="0"/>
              <w:keepLines w:val="0"/>
              <w:pageBreakBefore w:val="0"/>
              <w:widowControl w:val="0"/>
              <w:kinsoku/>
              <w:wordWrap/>
              <w:overflowPunct/>
              <w:topLinePunct w:val="0"/>
              <w:autoSpaceDE/>
              <w:autoSpaceDN/>
              <w:bidi w:val="0"/>
              <w:spacing w:after="0" w:line="360" w:lineRule="auto"/>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10分</w:t>
            </w:r>
            <w:r>
              <w:rPr>
                <w:rFonts w:hint="eastAsia" w:ascii="宋体" w:hAnsi="宋体" w:eastAsia="宋体" w:cs="宋体"/>
                <w:color w:val="auto"/>
                <w:sz w:val="21"/>
                <w:szCs w:val="21"/>
                <w:highlight w:val="none"/>
                <w:lang w:eastAsia="zh-CN"/>
              </w:rPr>
              <w:t>）</w:t>
            </w:r>
          </w:p>
        </w:tc>
        <w:tc>
          <w:tcPr>
            <w:tcW w:w="7808" w:type="dxa"/>
            <w:tcBorders>
              <w:top w:val="single" w:color="auto" w:sz="4" w:space="0"/>
            </w:tcBorders>
            <w:noWrap w:val="0"/>
            <w:vAlign w:val="center"/>
          </w:tcPr>
          <w:p w14:paraId="089931D3">
            <w:pPr>
              <w:keepNext w:val="0"/>
              <w:keepLines w:val="0"/>
              <w:pageBreakBefore w:val="0"/>
              <w:widowControl w:val="0"/>
              <w:kinsoku/>
              <w:wordWrap/>
              <w:overflowPunct/>
              <w:topLinePunct w:val="0"/>
              <w:autoSpaceDE/>
              <w:autoSpaceDN/>
              <w:bidi w:val="0"/>
              <w:adjustRightInd w:val="0"/>
              <w:snapToGrid w:val="0"/>
              <w:spacing w:line="360" w:lineRule="auto"/>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依据本项目特点提供的应急处置保障方案，包括但不限于①潜在风险分析；②应急响应机制及对应处置措施。</w:t>
            </w:r>
          </w:p>
          <w:p w14:paraId="3D1F2BE8">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spacing w:val="-1"/>
                <w:sz w:val="21"/>
                <w:szCs w:val="21"/>
              </w:rPr>
            </w:pPr>
            <w:r>
              <w:rPr>
                <w:rFonts w:hint="eastAsia" w:ascii="宋体" w:hAnsi="宋体" w:eastAsia="宋体" w:cs="宋体"/>
                <w:spacing w:val="-1"/>
                <w:sz w:val="21"/>
                <w:szCs w:val="21"/>
              </w:rPr>
              <w:t xml:space="preserve">方案内容完整、思路清晰、安排科学合理、措施完善、针对性强的计 </w:t>
            </w:r>
            <w:r>
              <w:rPr>
                <w:rFonts w:hint="eastAsia" w:ascii="宋体" w:hAnsi="宋体" w:eastAsia="宋体" w:cs="宋体"/>
                <w:spacing w:val="-1"/>
                <w:sz w:val="21"/>
                <w:szCs w:val="21"/>
                <w:lang w:val="en-US" w:eastAsia="zh-CN"/>
              </w:rPr>
              <w:t>10</w:t>
            </w:r>
            <w:r>
              <w:rPr>
                <w:rFonts w:hint="eastAsia" w:ascii="宋体" w:hAnsi="宋体" w:eastAsia="宋体" w:cs="宋体"/>
                <w:spacing w:val="-1"/>
                <w:sz w:val="21"/>
                <w:szCs w:val="21"/>
              </w:rPr>
              <w:t>分，每有一项有缺失或不完整或不合理的扣</w:t>
            </w:r>
            <w:r>
              <w:rPr>
                <w:rFonts w:hint="eastAsia" w:ascii="宋体" w:hAnsi="宋体" w:eastAsia="宋体" w:cs="宋体"/>
                <w:spacing w:val="-1"/>
                <w:sz w:val="21"/>
                <w:szCs w:val="21"/>
                <w:lang w:val="en-US" w:eastAsia="zh-CN"/>
              </w:rPr>
              <w:t>5</w:t>
            </w:r>
            <w:r>
              <w:rPr>
                <w:rFonts w:hint="eastAsia" w:ascii="宋体" w:hAnsi="宋体" w:eastAsia="宋体" w:cs="宋体"/>
                <w:spacing w:val="-1"/>
                <w:sz w:val="21"/>
                <w:szCs w:val="21"/>
              </w:rPr>
              <w:t>分，扣完为止，未提供的不计分。</w:t>
            </w:r>
          </w:p>
          <w:p w14:paraId="0FA3E09E">
            <w:pPr>
              <w:keepNext w:val="0"/>
              <w:keepLines w:val="0"/>
              <w:pageBreakBefore w:val="0"/>
              <w:widowControl w:val="0"/>
              <w:kinsoku/>
              <w:wordWrap/>
              <w:overflowPunct/>
              <w:topLinePunct w:val="0"/>
              <w:autoSpaceDE/>
              <w:autoSpaceDN/>
              <w:bidi w:val="0"/>
              <w:adjustRightInd w:val="0"/>
              <w:snapToGrid w:val="0"/>
              <w:spacing w:line="360" w:lineRule="auto"/>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spacing w:val="-1"/>
                <w:sz w:val="21"/>
                <w:szCs w:val="21"/>
              </w:rPr>
              <w:t>（注：有缺失是指未提供对应内容，不完整或不合理是指套用其他项目方案、照搬采购需求、内容具有明显缺陷、存在逻辑漏洞、前后内容无法连贯、脱离了实际情况、适用性差以及与本项目无关等情况。）</w:t>
            </w:r>
          </w:p>
        </w:tc>
      </w:tr>
      <w:tr w14:paraId="7D73B7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48" w:hRule="atLeast"/>
          <w:jc w:val="center"/>
        </w:trPr>
        <w:tc>
          <w:tcPr>
            <w:tcW w:w="1231" w:type="dxa"/>
            <w:vMerge w:val="restart"/>
            <w:tcBorders>
              <w:right w:val="single" w:color="auto" w:sz="4" w:space="0"/>
            </w:tcBorders>
            <w:noWrap w:val="0"/>
            <w:vAlign w:val="center"/>
          </w:tcPr>
          <w:p w14:paraId="2BE578EF">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商务评价项</w:t>
            </w:r>
          </w:p>
          <w:p w14:paraId="4CD7B611">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vertAlign w:val="subscript"/>
              </w:rPr>
              <w:t>3</w:t>
            </w:r>
            <w:r>
              <w:rPr>
                <w:rFonts w:hint="eastAsia" w:ascii="宋体" w:hAnsi="宋体" w:eastAsia="宋体" w:cs="宋体"/>
                <w:color w:val="auto"/>
                <w:sz w:val="21"/>
                <w:szCs w:val="21"/>
                <w:lang w:val="en-US" w:eastAsia="zh-CN"/>
              </w:rPr>
              <w:t>=30分</w:t>
            </w:r>
            <w:r>
              <w:rPr>
                <w:rFonts w:hint="eastAsia" w:ascii="宋体" w:hAnsi="宋体" w:eastAsia="宋体" w:cs="宋体"/>
                <w:color w:val="auto"/>
                <w:sz w:val="21"/>
                <w:szCs w:val="21"/>
              </w:rPr>
              <w:t>）</w:t>
            </w:r>
          </w:p>
        </w:tc>
        <w:tc>
          <w:tcPr>
            <w:tcW w:w="1179" w:type="dxa"/>
            <w:tcBorders>
              <w:top w:val="single" w:color="auto" w:sz="4" w:space="0"/>
              <w:left w:val="single" w:color="auto" w:sz="4" w:space="0"/>
              <w:bottom w:val="single" w:color="auto" w:sz="4" w:space="0"/>
            </w:tcBorders>
            <w:noWrap w:val="0"/>
            <w:vAlign w:val="center"/>
          </w:tcPr>
          <w:p w14:paraId="0DB00CE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类似业绩（20分）</w:t>
            </w:r>
          </w:p>
        </w:tc>
        <w:tc>
          <w:tcPr>
            <w:tcW w:w="7808" w:type="dxa"/>
            <w:noWrap w:val="0"/>
            <w:vAlign w:val="center"/>
          </w:tcPr>
          <w:p w14:paraId="2D7F515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供应商具有近三年（响应文件截止之时前36个月）类似项目业绩，每个5分，共计20分，计满为止。</w:t>
            </w:r>
          </w:p>
          <w:p w14:paraId="4CC4D78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（提供中标(或成交)通知书或合同协议复印件加盖供应商公章，否则不计分）。</w:t>
            </w:r>
          </w:p>
        </w:tc>
      </w:tr>
      <w:tr w14:paraId="29C6DC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48" w:hRule="atLeast"/>
          <w:jc w:val="center"/>
        </w:trPr>
        <w:tc>
          <w:tcPr>
            <w:tcW w:w="1231" w:type="dxa"/>
            <w:vMerge w:val="continue"/>
            <w:tcBorders>
              <w:bottom w:val="single" w:color="auto" w:sz="4" w:space="0"/>
              <w:right w:val="single" w:color="auto" w:sz="4" w:space="0"/>
            </w:tcBorders>
            <w:noWrap w:val="0"/>
            <w:vAlign w:val="center"/>
          </w:tcPr>
          <w:p w14:paraId="6079F44E">
            <w:pPr>
              <w:keepNext w:val="0"/>
              <w:keepLines w:val="0"/>
              <w:pageBreakBefore w:val="0"/>
              <w:widowControl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rPr>
            </w:pPr>
          </w:p>
        </w:tc>
        <w:tc>
          <w:tcPr>
            <w:tcW w:w="1179" w:type="dxa"/>
            <w:tcBorders>
              <w:top w:val="single" w:color="auto" w:sz="4" w:space="0"/>
              <w:left w:val="single" w:color="auto" w:sz="4" w:space="0"/>
              <w:bottom w:val="single" w:color="auto" w:sz="4" w:space="0"/>
            </w:tcBorders>
            <w:noWrap w:val="0"/>
            <w:vAlign w:val="center"/>
          </w:tcPr>
          <w:p w14:paraId="745ABE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不良行为记录（10分）</w:t>
            </w:r>
          </w:p>
        </w:tc>
        <w:tc>
          <w:tcPr>
            <w:tcW w:w="7808" w:type="dxa"/>
            <w:noWrap w:val="0"/>
            <w:vAlign w:val="center"/>
          </w:tcPr>
          <w:p w14:paraId="61C2A8D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highlight w:val="none"/>
                <w:lang w:val="en-US" w:eastAsia="zh-CN"/>
              </w:rPr>
              <w:t>湖南省行政区域内的不良行为记录以湖南省住房和城乡建设厅公布的结果为准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有效期按照《湖南省建筑市场责任主体不良行为记录》规定执行；湖南省行政区域外的不良行为记录以全国建筑市场监管公共服务平台公布的信息为准，按严重不良行为记录扣分，有效期按照平台中注明的有效期执行。</w:t>
            </w:r>
            <w:r>
              <w:rPr>
                <w:rFonts w:hint="eastAsia" w:ascii="宋体" w:hAnsi="宋体" w:eastAsia="宋体" w:cs="宋体"/>
                <w:color w:val="auto"/>
                <w:sz w:val="21"/>
                <w:szCs w:val="21"/>
                <w:highlight w:val="none"/>
              </w:rPr>
              <w:t>没有不良行为记录，记</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每发生一次不良行为记录扣</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val="en-US" w:eastAsia="zh-CN"/>
              </w:rPr>
              <w:t>扣完为止。</w:t>
            </w:r>
            <w:r>
              <w:rPr>
                <w:rFonts w:hint="eastAsia" w:ascii="宋体" w:hAnsi="宋体" w:eastAsia="宋体" w:cs="宋体"/>
                <w:color w:val="auto"/>
                <w:sz w:val="21"/>
                <w:szCs w:val="21"/>
                <w:highlight w:val="none"/>
              </w:rPr>
              <w:t>每发生一次严重不良行为记录的</w:t>
            </w:r>
            <w:r>
              <w:rPr>
                <w:rFonts w:hint="eastAsia" w:ascii="宋体" w:hAnsi="宋体" w:eastAsia="宋体" w:cs="宋体"/>
                <w:color w:val="auto"/>
                <w:sz w:val="21"/>
                <w:szCs w:val="21"/>
                <w:highlight w:val="none"/>
                <w:lang w:val="en-US" w:eastAsia="zh-CN"/>
              </w:rPr>
              <w:t>扣5</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需提供网页截图，否则不计分</w:t>
            </w:r>
            <w:r>
              <w:rPr>
                <w:rFonts w:hint="eastAsia" w:ascii="宋体" w:hAnsi="宋体" w:eastAsia="宋体" w:cs="宋体"/>
                <w:color w:val="auto"/>
                <w:sz w:val="21"/>
                <w:szCs w:val="21"/>
                <w:highlight w:val="none"/>
                <w:lang w:eastAsia="zh-CN"/>
              </w:rPr>
              <w:t>）</w:t>
            </w:r>
          </w:p>
        </w:tc>
      </w:tr>
      <w:tr w14:paraId="2D4ED3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96" w:hRule="atLeast"/>
          <w:jc w:val="center"/>
        </w:trPr>
        <w:tc>
          <w:tcPr>
            <w:tcW w:w="10218" w:type="dxa"/>
            <w:gridSpan w:val="3"/>
            <w:noWrap w:val="0"/>
            <w:vAlign w:val="center"/>
          </w:tcPr>
          <w:p w14:paraId="3CA5DD7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说明：供应商应对所有证明资料的真实性负责，如存在虚假或伪造或违法违规等行为，一经查实，作无效投标处理，如中标后查到则取消其中标候选人的资格，并报相关职能部门追究相应责任。</w:t>
            </w:r>
          </w:p>
        </w:tc>
      </w:tr>
    </w:tbl>
    <w:p w14:paraId="331D3CC3">
      <w:pPr>
        <w:jc w:val="center"/>
        <w:rPr>
          <w:rFonts w:hint="eastAsia" w:hAnsi="宋体" w:cs="宋体"/>
        </w:rPr>
      </w:pPr>
    </w:p>
    <w:p w14:paraId="55B2E33E">
      <w:pPr>
        <w:rPr>
          <w:rFonts w:hint="eastAsia" w:ascii="Times New Roman" w:hAnsi="Times New Roman" w:cs="Times New Roman"/>
          <w:b/>
          <w:bCs w:val="0"/>
          <w:lang w:val="en-US" w:eastAsia="zh-CN"/>
        </w:rPr>
      </w:pPr>
      <w:bookmarkStart w:id="320" w:name="_Toc32302"/>
      <w:bookmarkStart w:id="321" w:name="_Toc18621"/>
      <w:r>
        <w:rPr>
          <w:rFonts w:hint="eastAsia" w:ascii="Times New Roman" w:hAnsi="Times New Roman" w:cs="Times New Roman"/>
          <w:b/>
          <w:bCs w:val="0"/>
          <w:lang w:val="en-US" w:eastAsia="zh-CN"/>
        </w:rPr>
        <w:br w:type="page"/>
      </w:r>
    </w:p>
    <w:p w14:paraId="00D8C6C5">
      <w:pPr>
        <w:pStyle w:val="3"/>
        <w:bidi w:val="0"/>
        <w:rPr>
          <w:rFonts w:hint="eastAsia"/>
          <w:b/>
          <w:bCs w:val="0"/>
        </w:rPr>
      </w:pPr>
      <w:r>
        <w:rPr>
          <w:rFonts w:hint="eastAsia" w:ascii="Times New Roman" w:hAnsi="Times New Roman" w:cs="Times New Roman"/>
          <w:b/>
          <w:bCs w:val="0"/>
          <w:lang w:val="en-US" w:eastAsia="zh-CN"/>
        </w:rPr>
        <w:t>第五章 采购需求</w:t>
      </w:r>
      <w:bookmarkEnd w:id="320"/>
      <w:bookmarkEnd w:id="321"/>
    </w:p>
    <w:p w14:paraId="2FBDFF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一、工程概括</w:t>
      </w:r>
    </w:p>
    <w:p w14:paraId="2D78252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1、项目名称：</w:t>
      </w:r>
      <w:r>
        <w:rPr>
          <w:rFonts w:hint="eastAsia" w:ascii="宋体" w:hAnsi="宋体" w:cs="宋体"/>
          <w:sz w:val="21"/>
          <w:szCs w:val="21"/>
          <w:lang w:val="en-US" w:eastAsia="zh-CN"/>
        </w:rPr>
        <w:t>鹤北新城城中村改造安置区配电工程（外线部分）（第三次）</w:t>
      </w:r>
      <w:r>
        <w:rPr>
          <w:rFonts w:hint="eastAsia" w:ascii="宋体" w:hAnsi="宋体" w:eastAsia="宋体" w:cs="宋体"/>
          <w:sz w:val="21"/>
          <w:szCs w:val="21"/>
          <w:lang w:val="en-US" w:eastAsia="zh-CN"/>
        </w:rPr>
        <w:t>。</w:t>
      </w:r>
    </w:p>
    <w:p w14:paraId="637378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工程内容:本工程采用10KV双电源供电：1.主供：由110kV新街变10kV（324）间隔新出1回YJV22-3X400电缆至变电站出站竖井旁新建10KV鹤北新城专线新街变旁环网柜；新建10KV鹤北新城专线新街变旁环网柜出线2回，回路1将（324）间隔退出的鹤城区法院线YJV22-3X300电缆重新接进新街环网柜，回路2新建YJV22-3X300电缆接至鹤北新城开闭所高压柜。2.备供：由110kV市政变电站10KV迦南美地线城东水厂1#环网柜搭火，新出1回ZC-YJV22-8.7/15KV-3X120电缆新建电缆通道跨过溆怀连接线后沿溆怀连接线西侧敷设至鹤北新城专变配电房高压柜。</w:t>
      </w:r>
    </w:p>
    <w:p w14:paraId="1A54B1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3、建设单位：怀化市鹤城区城市建设投资有限公司。</w:t>
      </w:r>
    </w:p>
    <w:p w14:paraId="67D245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二、工期、质量要求、付款及验收要求</w:t>
      </w:r>
    </w:p>
    <w:p w14:paraId="5A9D8B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1、工期：</w:t>
      </w:r>
      <w:r>
        <w:rPr>
          <w:rFonts w:hint="eastAsia" w:ascii="宋体" w:hAnsi="宋体" w:cs="宋体"/>
          <w:sz w:val="21"/>
          <w:szCs w:val="21"/>
          <w:highlight w:val="none"/>
          <w:lang w:val="en-US" w:eastAsia="zh-CN"/>
        </w:rPr>
        <w:t>60</w:t>
      </w:r>
      <w:r>
        <w:rPr>
          <w:rFonts w:hint="eastAsia" w:ascii="宋体" w:hAnsi="宋体" w:eastAsia="宋体" w:cs="宋体"/>
          <w:sz w:val="21"/>
          <w:szCs w:val="21"/>
          <w:highlight w:val="none"/>
          <w:lang w:val="en-US" w:eastAsia="zh-CN"/>
        </w:rPr>
        <w:t>日历天。</w:t>
      </w:r>
    </w:p>
    <w:p w14:paraId="6CA1BB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2、保修要求：</w:t>
      </w:r>
      <w:r>
        <w:rPr>
          <w:rFonts w:hint="eastAsia" w:ascii="宋体" w:hAnsi="宋体" w:cs="宋体"/>
          <w:sz w:val="21"/>
          <w:szCs w:val="21"/>
          <w:lang w:val="en-US" w:eastAsia="zh-CN"/>
        </w:rPr>
        <w:t>详见合同</w:t>
      </w:r>
      <w:r>
        <w:rPr>
          <w:rFonts w:hint="eastAsia" w:ascii="宋体" w:hAnsi="宋体" w:eastAsia="宋体" w:cs="宋体"/>
          <w:sz w:val="21"/>
          <w:szCs w:val="21"/>
          <w:lang w:val="en-US" w:eastAsia="zh-CN"/>
        </w:rPr>
        <w:t>；</w:t>
      </w:r>
    </w:p>
    <w:p w14:paraId="0B34974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3、质量要求：符合现行国家及地方电力部门有关工程施工验收规范和标准的合格工程标准。</w:t>
      </w:r>
    </w:p>
    <w:p w14:paraId="1CE39E0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lang w:val="en-US" w:eastAsia="zh-CN"/>
        </w:rPr>
        <w:t>4、付款方式：</w:t>
      </w:r>
      <w:r>
        <w:rPr>
          <w:rFonts w:hint="eastAsia" w:ascii="宋体" w:hAnsi="宋体" w:eastAsia="宋体" w:cs="宋体"/>
          <w:sz w:val="21"/>
          <w:szCs w:val="21"/>
          <w:highlight w:val="none"/>
          <w:lang w:val="en-US" w:eastAsia="zh-CN"/>
        </w:rPr>
        <w:t>按照月实际完成的工程量进行计量和支付申请，每月支付相应工程款80%的金额，承包人必须按实际工程量报进度款，若虚报工程量被发包人发现后，发包人有权按相应比例扣减工程款，待工程完成项目全部工程并经验收合格后，按照财建[2022]183号文《关于完善建设工程价款结算有关办法的通知》执行，即按80%支付比例进行支付；剩余款项经甲方相关部门（市、区相关最新相关文件执行），支付至审定金额的97%，其余3%为质保金，待缺陷责任期满（两年）无质量问题时无息给付。注：承包人向发包人提交相应额度的增值税专用发票后予以支付。</w:t>
      </w:r>
    </w:p>
    <w:p w14:paraId="59004A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三、转包和分包</w:t>
      </w:r>
    </w:p>
    <w:p w14:paraId="691E6EB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本工程供应商中标后，不得以任何形式将本工程转包或分包给其他单位，如发现转包或分包，采购人有权终止合同，所造成的一切损失由中标供应商负责。</w:t>
      </w:r>
    </w:p>
    <w:p w14:paraId="6E9768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四、中标供应商竣工后应提供的技术资料</w:t>
      </w:r>
    </w:p>
    <w:p w14:paraId="199B8F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按合同约定</w:t>
      </w:r>
    </w:p>
    <w:p w14:paraId="3FCC69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五、投标报价文件</w:t>
      </w:r>
    </w:p>
    <w:p w14:paraId="5DB686E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 工程报价文件中的单价和总价均以人民币表示。响应报价文件应由下列内容组成，具体格式以本项目提供的工程量清单为准。</w:t>
      </w:r>
    </w:p>
    <w:p w14:paraId="19DC1D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2、本工程设最高限价。</w:t>
      </w:r>
    </w:p>
    <w:p w14:paraId="3CC33F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（1）最高</w:t>
      </w:r>
      <w:r>
        <w:rPr>
          <w:rFonts w:hint="eastAsia" w:ascii="宋体" w:hAnsi="宋体" w:cs="宋体"/>
          <w:sz w:val="21"/>
          <w:szCs w:val="21"/>
          <w:lang w:val="en-US" w:eastAsia="zh-CN"/>
        </w:rPr>
        <w:t>限制总</w:t>
      </w:r>
      <w:r>
        <w:rPr>
          <w:rFonts w:hint="eastAsia" w:ascii="宋体" w:hAnsi="宋体" w:eastAsia="宋体" w:cs="宋体"/>
          <w:sz w:val="21"/>
          <w:szCs w:val="21"/>
          <w:lang w:val="en-US" w:eastAsia="zh-CN"/>
        </w:rPr>
        <w:t>价为3987082.63元，本项目实行单价总价双控，供应商提供的单价及总价均不得超过本项目限价。</w:t>
      </w:r>
    </w:p>
    <w:p w14:paraId="2526334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（2）投标报价按工程量清单形式提供，最终报价只须报总价。</w:t>
      </w:r>
    </w:p>
    <w:p w14:paraId="0536DE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3、采购人不接受有任何选择的报价。</w:t>
      </w:r>
    </w:p>
    <w:p w14:paraId="72B7AC0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六、项目清单及说明</w:t>
      </w:r>
    </w:p>
    <w:p w14:paraId="3B4EE5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请各供应商投标人根据竞争性磋商采购文件发布时的工程量清单进行投标报价。</w:t>
      </w:r>
    </w:p>
    <w:p w14:paraId="55B64B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七、其他未尽事宜由甲乙双方协商解决。</w:t>
      </w:r>
    </w:p>
    <w:p w14:paraId="1DCBDB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p>
    <w:p w14:paraId="63C85F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●对于上述项目要求，投标人应在投标文件中进行回应，作出承诺及说明。</w:t>
      </w:r>
    </w:p>
    <w:p w14:paraId="71D00DBA">
      <w:pPr>
        <w:rPr>
          <w:rFonts w:hint="default" w:eastAsia="宋体"/>
          <w:sz w:val="28"/>
          <w:szCs w:val="28"/>
          <w:lang w:val="en-US" w:eastAsia="zh-CN"/>
        </w:rPr>
      </w:pPr>
    </w:p>
    <w:p w14:paraId="66F0F899">
      <w:pPr>
        <w:rPr>
          <w:rFonts w:hint="eastAsia"/>
        </w:rPr>
      </w:pPr>
    </w:p>
    <w:p w14:paraId="724A228F">
      <w:pPr>
        <w:rPr>
          <w:rFonts w:hint="eastAsia"/>
          <w:b/>
          <w:bCs w:val="0"/>
        </w:rPr>
      </w:pPr>
      <w:bookmarkStart w:id="322" w:name="_Toc3228"/>
      <w:bookmarkStart w:id="323" w:name="_Toc20050"/>
      <w:r>
        <w:rPr>
          <w:rFonts w:hint="eastAsia"/>
          <w:b/>
          <w:bCs w:val="0"/>
        </w:rPr>
        <w:br w:type="page"/>
      </w:r>
    </w:p>
    <w:p w14:paraId="5A2A3E27">
      <w:pPr>
        <w:pStyle w:val="3"/>
        <w:bidi w:val="0"/>
        <w:rPr>
          <w:rFonts w:hint="eastAsia"/>
          <w:b/>
          <w:bCs w:val="0"/>
        </w:rPr>
      </w:pPr>
      <w:r>
        <w:rPr>
          <w:rFonts w:hint="eastAsia"/>
          <w:b/>
          <w:bCs w:val="0"/>
        </w:rPr>
        <w:t>第</w:t>
      </w:r>
      <w:r>
        <w:rPr>
          <w:rFonts w:hint="eastAsia"/>
          <w:b/>
          <w:bCs w:val="0"/>
          <w:lang w:eastAsia="zh-CN"/>
        </w:rPr>
        <w:t>六</w:t>
      </w:r>
      <w:r>
        <w:rPr>
          <w:rFonts w:hint="eastAsia"/>
          <w:b/>
          <w:bCs w:val="0"/>
        </w:rPr>
        <w:t>章 响应文件组成</w:t>
      </w:r>
      <w:bookmarkEnd w:id="322"/>
      <w:bookmarkEnd w:id="323"/>
    </w:p>
    <w:p w14:paraId="3E21BBC2">
      <w:pPr>
        <w:spacing w:line="360" w:lineRule="exact"/>
        <w:rPr>
          <w:rFonts w:hint="eastAsia" w:ascii="宋体"/>
        </w:rPr>
      </w:pPr>
    </w:p>
    <w:p w14:paraId="3BC11531">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rPr>
      </w:pPr>
      <w:r>
        <w:rPr>
          <w:rFonts w:hint="eastAsia"/>
        </w:rPr>
        <w:t>供应商的响应文件应包含以下</w:t>
      </w:r>
      <w:r>
        <w:rPr>
          <w:rFonts w:hint="eastAsia"/>
          <w:lang w:eastAsia="zh-CN"/>
        </w:rPr>
        <w:t>九</w:t>
      </w:r>
      <w:r>
        <w:rPr>
          <w:rFonts w:hint="eastAsia"/>
        </w:rPr>
        <w:t>个部分：</w:t>
      </w:r>
    </w:p>
    <w:p w14:paraId="0B125834">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b/>
          <w:bCs/>
        </w:rPr>
      </w:pPr>
      <w:bookmarkStart w:id="324" w:name="_Toc31781"/>
      <w:bookmarkStart w:id="325" w:name="_Toc13012"/>
      <w:bookmarkStart w:id="326" w:name="_Toc3063"/>
      <w:r>
        <w:rPr>
          <w:rFonts w:hint="eastAsia"/>
          <w:b/>
          <w:bCs/>
        </w:rPr>
        <w:t>一、磋商响应声明</w:t>
      </w:r>
      <w:bookmarkEnd w:id="324"/>
      <w:bookmarkEnd w:id="325"/>
      <w:bookmarkEnd w:id="326"/>
    </w:p>
    <w:p w14:paraId="583F2764">
      <w:pPr>
        <w:keepNext w:val="0"/>
        <w:keepLines w:val="0"/>
        <w:pageBreakBefore w:val="0"/>
        <w:widowControl w:val="0"/>
        <w:kinsoku/>
        <w:wordWrap/>
        <w:overflowPunct/>
        <w:topLinePunct w:val="0"/>
        <w:autoSpaceDE/>
        <w:autoSpaceDN/>
        <w:bidi w:val="0"/>
        <w:spacing w:line="360" w:lineRule="auto"/>
        <w:ind w:firstLine="630" w:firstLineChars="300"/>
        <w:textAlignment w:val="auto"/>
        <w:rPr>
          <w:rFonts w:hint="eastAsia"/>
        </w:rPr>
      </w:pPr>
      <w:bookmarkStart w:id="327" w:name="_Toc23141"/>
      <w:bookmarkStart w:id="328" w:name="_Toc4132"/>
      <w:bookmarkStart w:id="329" w:name="_Toc15618"/>
      <w:r>
        <w:rPr>
          <w:rFonts w:hint="eastAsia"/>
        </w:rPr>
        <w:t>附件1：法定代表人身份证明</w:t>
      </w:r>
      <w:bookmarkEnd w:id="327"/>
      <w:bookmarkEnd w:id="328"/>
      <w:bookmarkEnd w:id="329"/>
    </w:p>
    <w:p w14:paraId="69058753">
      <w:pPr>
        <w:keepNext w:val="0"/>
        <w:keepLines w:val="0"/>
        <w:pageBreakBefore w:val="0"/>
        <w:widowControl w:val="0"/>
        <w:kinsoku/>
        <w:wordWrap/>
        <w:overflowPunct/>
        <w:topLinePunct w:val="0"/>
        <w:autoSpaceDE/>
        <w:autoSpaceDN/>
        <w:bidi w:val="0"/>
        <w:spacing w:line="360" w:lineRule="auto"/>
        <w:ind w:firstLine="630" w:firstLineChars="300"/>
        <w:textAlignment w:val="auto"/>
        <w:rPr>
          <w:rFonts w:hint="eastAsia"/>
        </w:rPr>
      </w:pPr>
      <w:bookmarkStart w:id="330" w:name="_Toc24106"/>
      <w:bookmarkStart w:id="331" w:name="_Toc13739"/>
      <w:bookmarkStart w:id="332" w:name="_Toc410"/>
      <w:r>
        <w:rPr>
          <w:rFonts w:hint="eastAsia"/>
        </w:rPr>
        <w:t>附件2：法定代表人授权委托书</w:t>
      </w:r>
      <w:bookmarkEnd w:id="330"/>
      <w:bookmarkEnd w:id="331"/>
      <w:bookmarkEnd w:id="332"/>
    </w:p>
    <w:p w14:paraId="2DD092AE">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b/>
          <w:bCs/>
        </w:rPr>
      </w:pPr>
      <w:bookmarkStart w:id="333" w:name="_Toc15694"/>
      <w:bookmarkStart w:id="334" w:name="_Toc14726"/>
      <w:bookmarkStart w:id="335" w:name="_Toc1779"/>
      <w:r>
        <w:rPr>
          <w:rFonts w:hint="eastAsia"/>
          <w:b/>
          <w:bCs/>
          <w:lang w:eastAsia="zh-CN"/>
        </w:rPr>
        <w:t>二</w:t>
      </w:r>
      <w:r>
        <w:rPr>
          <w:rFonts w:hint="eastAsia"/>
          <w:b/>
          <w:bCs/>
        </w:rPr>
        <w:t>、联合体协议(格式)</w:t>
      </w:r>
      <w:bookmarkEnd w:id="333"/>
      <w:bookmarkEnd w:id="334"/>
      <w:bookmarkEnd w:id="335"/>
    </w:p>
    <w:p w14:paraId="0F53BCDF">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b/>
          <w:bCs/>
        </w:rPr>
      </w:pPr>
      <w:bookmarkStart w:id="336" w:name="_Toc15992"/>
      <w:bookmarkStart w:id="337" w:name="_Toc16482"/>
      <w:bookmarkStart w:id="338" w:name="_Toc28941"/>
      <w:r>
        <w:rPr>
          <w:rFonts w:hint="eastAsia"/>
          <w:b/>
          <w:bCs/>
          <w:lang w:eastAsia="zh-CN"/>
        </w:rPr>
        <w:t>三</w:t>
      </w:r>
      <w:r>
        <w:rPr>
          <w:rFonts w:hint="eastAsia"/>
          <w:b/>
          <w:bCs/>
        </w:rPr>
        <w:t>、供应商的资格证明资料</w:t>
      </w:r>
      <w:bookmarkEnd w:id="336"/>
      <w:bookmarkEnd w:id="337"/>
      <w:bookmarkEnd w:id="338"/>
    </w:p>
    <w:p w14:paraId="773667BF">
      <w:pPr>
        <w:keepNext w:val="0"/>
        <w:keepLines w:val="0"/>
        <w:pageBreakBefore w:val="0"/>
        <w:widowControl w:val="0"/>
        <w:kinsoku/>
        <w:wordWrap/>
        <w:overflowPunct/>
        <w:topLinePunct w:val="0"/>
        <w:autoSpaceDE/>
        <w:autoSpaceDN/>
        <w:bidi w:val="0"/>
        <w:spacing w:line="360" w:lineRule="auto"/>
        <w:ind w:firstLine="630" w:firstLineChars="300"/>
        <w:textAlignment w:val="auto"/>
        <w:rPr>
          <w:rFonts w:hint="eastAsia"/>
        </w:rPr>
      </w:pPr>
      <w:bookmarkStart w:id="339" w:name="_Toc4397"/>
      <w:bookmarkStart w:id="340" w:name="_Toc27667"/>
      <w:bookmarkStart w:id="341" w:name="_Toc11846"/>
      <w:r>
        <w:rPr>
          <w:rFonts w:hint="eastAsia"/>
        </w:rPr>
        <w:t>附件</w:t>
      </w:r>
      <w:r>
        <w:rPr>
          <w:rFonts w:hint="eastAsia"/>
          <w:lang w:val="en-US" w:eastAsia="zh-CN"/>
        </w:rPr>
        <w:t>4</w:t>
      </w:r>
      <w:r>
        <w:rPr>
          <w:rFonts w:hint="eastAsia"/>
        </w:rPr>
        <w:t>：供应商基本情况表</w:t>
      </w:r>
      <w:bookmarkEnd w:id="339"/>
      <w:bookmarkEnd w:id="340"/>
      <w:bookmarkEnd w:id="341"/>
    </w:p>
    <w:p w14:paraId="099FB27D">
      <w:pPr>
        <w:keepNext w:val="0"/>
        <w:keepLines w:val="0"/>
        <w:pageBreakBefore w:val="0"/>
        <w:widowControl w:val="0"/>
        <w:kinsoku/>
        <w:wordWrap/>
        <w:overflowPunct/>
        <w:topLinePunct w:val="0"/>
        <w:autoSpaceDE/>
        <w:autoSpaceDN/>
        <w:bidi w:val="0"/>
        <w:spacing w:line="360" w:lineRule="auto"/>
        <w:ind w:firstLine="630" w:firstLineChars="300"/>
        <w:textAlignment w:val="auto"/>
        <w:rPr>
          <w:rFonts w:hint="eastAsia"/>
        </w:rPr>
      </w:pPr>
      <w:bookmarkStart w:id="342" w:name="_Toc10282"/>
      <w:bookmarkStart w:id="343" w:name="_Toc12768"/>
      <w:bookmarkStart w:id="344" w:name="_Toc32755"/>
      <w:r>
        <w:rPr>
          <w:rFonts w:hint="eastAsia"/>
        </w:rPr>
        <w:t>附件</w:t>
      </w:r>
      <w:r>
        <w:rPr>
          <w:rFonts w:hint="eastAsia"/>
          <w:lang w:val="en-US" w:eastAsia="zh-CN"/>
        </w:rPr>
        <w:t>5</w:t>
      </w:r>
      <w:r>
        <w:rPr>
          <w:rFonts w:hint="eastAsia"/>
        </w:rPr>
        <w:t>：</w:t>
      </w:r>
      <w:bookmarkEnd w:id="342"/>
      <w:bookmarkEnd w:id="343"/>
      <w:r>
        <w:rPr>
          <w:rFonts w:hint="eastAsia"/>
        </w:rPr>
        <w:t>磋商文件规定的资格条件证明资料</w:t>
      </w:r>
      <w:bookmarkEnd w:id="344"/>
    </w:p>
    <w:p w14:paraId="79824FD4">
      <w:pPr>
        <w:keepNext w:val="0"/>
        <w:keepLines w:val="0"/>
        <w:pageBreakBefore w:val="0"/>
        <w:widowControl w:val="0"/>
        <w:kinsoku/>
        <w:wordWrap/>
        <w:overflowPunct/>
        <w:topLinePunct w:val="0"/>
        <w:autoSpaceDE/>
        <w:autoSpaceDN/>
        <w:bidi w:val="0"/>
        <w:spacing w:line="360" w:lineRule="auto"/>
        <w:ind w:firstLine="630" w:firstLineChars="300"/>
        <w:textAlignment w:val="auto"/>
        <w:rPr>
          <w:rFonts w:hint="eastAsia"/>
        </w:rPr>
      </w:pPr>
      <w:bookmarkStart w:id="345" w:name="_Toc10445"/>
      <w:bookmarkStart w:id="346" w:name="_Toc16587"/>
      <w:bookmarkStart w:id="347" w:name="_Toc15116"/>
      <w:r>
        <w:rPr>
          <w:rFonts w:hint="eastAsia"/>
        </w:rPr>
        <w:t>附件</w:t>
      </w:r>
      <w:r>
        <w:rPr>
          <w:rFonts w:hint="eastAsia"/>
          <w:lang w:val="en-US" w:eastAsia="zh-CN"/>
        </w:rPr>
        <w:t>6</w:t>
      </w:r>
      <w:r>
        <w:rPr>
          <w:rFonts w:hint="eastAsia"/>
        </w:rPr>
        <w:t>：</w:t>
      </w:r>
      <w:bookmarkEnd w:id="345"/>
      <w:bookmarkEnd w:id="346"/>
      <w:r>
        <w:rPr>
          <w:rFonts w:hint="eastAsia"/>
        </w:rPr>
        <w:t>供应商的资格条件更新材料</w:t>
      </w:r>
      <w:bookmarkEnd w:id="347"/>
    </w:p>
    <w:p w14:paraId="4E5259B8">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b/>
          <w:bCs/>
          <w:lang w:eastAsia="zh-CN"/>
        </w:rPr>
      </w:pPr>
      <w:r>
        <w:rPr>
          <w:rFonts w:hint="eastAsia"/>
          <w:b/>
          <w:bCs/>
          <w:lang w:eastAsia="zh-CN"/>
        </w:rPr>
        <w:t>四</w:t>
      </w:r>
      <w:r>
        <w:rPr>
          <w:rFonts w:hint="eastAsia"/>
          <w:b/>
          <w:bCs/>
        </w:rPr>
        <w:t>、</w:t>
      </w:r>
      <w:r>
        <w:rPr>
          <w:rFonts w:hint="eastAsia"/>
          <w:b/>
          <w:bCs/>
          <w:lang w:eastAsia="zh-CN"/>
        </w:rPr>
        <w:t>施工组织设计</w:t>
      </w:r>
    </w:p>
    <w:p w14:paraId="20710955">
      <w:pPr>
        <w:keepNext w:val="0"/>
        <w:keepLines w:val="0"/>
        <w:pageBreakBefore w:val="0"/>
        <w:widowControl w:val="0"/>
        <w:kinsoku/>
        <w:wordWrap/>
        <w:overflowPunct/>
        <w:topLinePunct w:val="0"/>
        <w:autoSpaceDE/>
        <w:autoSpaceDN/>
        <w:bidi w:val="0"/>
        <w:spacing w:line="360" w:lineRule="auto"/>
        <w:ind w:firstLine="630" w:firstLineChars="300"/>
        <w:textAlignment w:val="auto"/>
        <w:rPr>
          <w:rFonts w:hint="eastAsia"/>
        </w:rPr>
      </w:pPr>
      <w:r>
        <w:rPr>
          <w:rFonts w:hint="eastAsia"/>
        </w:rPr>
        <w:t>附件</w:t>
      </w:r>
      <w:r>
        <w:rPr>
          <w:rFonts w:hint="eastAsia"/>
          <w:lang w:val="en-US" w:eastAsia="zh-CN"/>
        </w:rPr>
        <w:t>7</w:t>
      </w:r>
      <w:r>
        <w:rPr>
          <w:rFonts w:hint="eastAsia"/>
        </w:rPr>
        <w:t xml:space="preserve">：主要人员简历表(工程类适用) </w:t>
      </w:r>
    </w:p>
    <w:p w14:paraId="23EFFBE3">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b/>
          <w:bCs/>
        </w:rPr>
      </w:pPr>
      <w:r>
        <w:rPr>
          <w:rFonts w:hint="eastAsia"/>
          <w:b/>
          <w:bCs/>
          <w:lang w:eastAsia="zh-CN"/>
        </w:rPr>
        <w:t>五</w:t>
      </w:r>
      <w:r>
        <w:rPr>
          <w:rFonts w:hint="eastAsia"/>
          <w:b/>
          <w:bCs/>
        </w:rPr>
        <w:t>、技术/商务响应与偏离表</w:t>
      </w:r>
    </w:p>
    <w:p w14:paraId="38066507">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b/>
          <w:bCs/>
        </w:rPr>
      </w:pPr>
      <w:r>
        <w:rPr>
          <w:rFonts w:hint="eastAsia"/>
          <w:b/>
          <w:bCs/>
          <w:lang w:eastAsia="zh-CN"/>
        </w:rPr>
        <w:t>六</w:t>
      </w:r>
      <w:r>
        <w:rPr>
          <w:rFonts w:hint="eastAsia"/>
          <w:b/>
          <w:bCs/>
        </w:rPr>
        <w:t>、提供享受政府采购政策的证明资料和清单表</w:t>
      </w:r>
    </w:p>
    <w:p w14:paraId="62D26A7A">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b/>
          <w:bCs/>
        </w:rPr>
      </w:pPr>
      <w:r>
        <w:rPr>
          <w:rFonts w:hint="eastAsia"/>
          <w:b/>
          <w:bCs/>
          <w:lang w:eastAsia="zh-CN"/>
        </w:rPr>
        <w:t>七</w:t>
      </w:r>
      <w:r>
        <w:rPr>
          <w:rFonts w:hint="eastAsia"/>
          <w:b/>
          <w:bCs/>
        </w:rPr>
        <w:t>、报价一览表及分项价格表</w:t>
      </w:r>
    </w:p>
    <w:p w14:paraId="18BF39FB">
      <w:pPr>
        <w:keepNext w:val="0"/>
        <w:keepLines w:val="0"/>
        <w:pageBreakBefore w:val="0"/>
        <w:widowControl w:val="0"/>
        <w:kinsoku/>
        <w:wordWrap/>
        <w:overflowPunct/>
        <w:topLinePunct w:val="0"/>
        <w:autoSpaceDE/>
        <w:autoSpaceDN/>
        <w:bidi w:val="0"/>
        <w:spacing w:line="360" w:lineRule="auto"/>
        <w:ind w:firstLine="630" w:firstLineChars="300"/>
        <w:textAlignment w:val="auto"/>
        <w:rPr>
          <w:rFonts w:hint="eastAsia"/>
        </w:rPr>
      </w:pPr>
      <w:bookmarkStart w:id="348" w:name="_Toc26879"/>
      <w:bookmarkStart w:id="349" w:name="_Toc21419"/>
      <w:r>
        <w:rPr>
          <w:rFonts w:hint="eastAsia"/>
        </w:rPr>
        <w:t>附件</w:t>
      </w:r>
      <w:bookmarkEnd w:id="348"/>
      <w:bookmarkEnd w:id="349"/>
      <w:r>
        <w:rPr>
          <w:rFonts w:hint="eastAsia"/>
          <w:lang w:val="en-US" w:eastAsia="zh-CN"/>
        </w:rPr>
        <w:t>9：报价文件</w:t>
      </w:r>
    </w:p>
    <w:p w14:paraId="0BCE3378">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b/>
          <w:bCs/>
        </w:rPr>
      </w:pPr>
      <w:r>
        <w:rPr>
          <w:rFonts w:hint="eastAsia"/>
          <w:b/>
          <w:bCs/>
          <w:lang w:eastAsia="zh-CN"/>
        </w:rPr>
        <w:t>八</w:t>
      </w:r>
      <w:r>
        <w:rPr>
          <w:rFonts w:hint="eastAsia"/>
          <w:b/>
          <w:bCs/>
        </w:rPr>
        <w:t>、供应商认为需提供的其它资料</w:t>
      </w:r>
    </w:p>
    <w:p w14:paraId="1A83C940">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b/>
          <w:bCs/>
        </w:rPr>
      </w:pPr>
      <w:r>
        <w:rPr>
          <w:rFonts w:hint="eastAsia"/>
          <w:b/>
          <w:bCs/>
          <w:lang w:eastAsia="zh-CN"/>
        </w:rPr>
        <w:t>九</w:t>
      </w:r>
      <w:r>
        <w:rPr>
          <w:rFonts w:hint="eastAsia"/>
          <w:b/>
          <w:bCs/>
        </w:rPr>
        <w:t>、最后报价</w:t>
      </w:r>
    </w:p>
    <w:p w14:paraId="383D9574">
      <w:pPr>
        <w:pStyle w:val="13"/>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hAnsi="宋体"/>
          <w:b/>
        </w:rPr>
      </w:pPr>
    </w:p>
    <w:p w14:paraId="7710FA0C">
      <w:pPr>
        <w:pStyle w:val="21"/>
        <w:ind w:left="0" w:leftChars="0" w:firstLine="0" w:firstLineChars="0"/>
        <w:rPr>
          <w:rFonts w:hint="default" w:ascii="宋体" w:hAnsi="宋体"/>
          <w:szCs w:val="21"/>
          <w:lang w:val="en-US" w:eastAsia="zh-CN"/>
        </w:rPr>
      </w:pPr>
    </w:p>
    <w:p w14:paraId="1AE0985F">
      <w:pPr>
        <w:pStyle w:val="4"/>
        <w:bidi w:val="0"/>
        <w:jc w:val="both"/>
        <w:rPr>
          <w:rFonts w:hint="eastAsia"/>
        </w:rPr>
      </w:pPr>
    </w:p>
    <w:p w14:paraId="1C607F9D">
      <w:pPr>
        <w:rPr>
          <w:rFonts w:hint="eastAsia"/>
        </w:rPr>
      </w:pPr>
    </w:p>
    <w:p w14:paraId="6592BB70">
      <w:pPr>
        <w:rPr>
          <w:rFonts w:hint="eastAsia"/>
        </w:rPr>
      </w:pPr>
    </w:p>
    <w:p w14:paraId="685F7D32">
      <w:pPr>
        <w:rPr>
          <w:rFonts w:hint="eastAsia"/>
        </w:rPr>
      </w:pPr>
    </w:p>
    <w:p w14:paraId="156B5E3E">
      <w:pPr>
        <w:rPr>
          <w:rFonts w:hint="eastAsia"/>
        </w:rPr>
      </w:pPr>
    </w:p>
    <w:p w14:paraId="3EB502E3">
      <w:pPr>
        <w:rPr>
          <w:rFonts w:hint="eastAsia"/>
        </w:rPr>
      </w:pPr>
    </w:p>
    <w:p w14:paraId="5C74F619">
      <w:pPr>
        <w:rPr>
          <w:rFonts w:hint="eastAsia"/>
        </w:rPr>
      </w:pPr>
    </w:p>
    <w:p w14:paraId="56BEE08F">
      <w:pPr>
        <w:rPr>
          <w:rFonts w:hint="eastAsia"/>
        </w:rPr>
      </w:pPr>
    </w:p>
    <w:p w14:paraId="73B5D35D">
      <w:pPr>
        <w:rPr>
          <w:rFonts w:hint="eastAsia"/>
        </w:rPr>
      </w:pPr>
      <w:bookmarkStart w:id="350" w:name="_Toc2187"/>
      <w:r>
        <w:rPr>
          <w:rFonts w:hint="eastAsia"/>
        </w:rPr>
        <w:br w:type="page"/>
      </w:r>
    </w:p>
    <w:p w14:paraId="3D0EDD05">
      <w:pPr>
        <w:pStyle w:val="4"/>
        <w:bidi w:val="0"/>
        <w:jc w:val="center"/>
        <w:rPr>
          <w:rFonts w:hint="eastAsia"/>
        </w:rPr>
      </w:pPr>
      <w:r>
        <w:rPr>
          <w:rFonts w:hint="eastAsia"/>
        </w:rPr>
        <w:t>一、磋商响应声明</w:t>
      </w:r>
      <w:bookmarkEnd w:id="350"/>
    </w:p>
    <w:p w14:paraId="7CC7EC7D">
      <w:pPr>
        <w:adjustRightInd w:val="0"/>
        <w:snapToGrid w:val="0"/>
        <w:spacing w:line="360" w:lineRule="auto"/>
        <w:rPr>
          <w:rFonts w:hint="eastAsia" w:ascii="仿宋_GB2312" w:hAnsi="宋体" w:eastAsia="仿宋_GB2312"/>
          <w:sz w:val="24"/>
        </w:rPr>
      </w:pPr>
    </w:p>
    <w:p w14:paraId="73146262">
      <w:pPr>
        <w:adjustRightInd w:val="0"/>
        <w:snapToGrid w:val="0"/>
        <w:spacing w:line="360" w:lineRule="auto"/>
        <w:rPr>
          <w:rFonts w:hint="eastAsia" w:ascii="宋体" w:hAnsi="宋体"/>
          <w:szCs w:val="21"/>
        </w:rPr>
      </w:pPr>
      <w:r>
        <w:rPr>
          <w:rFonts w:hint="eastAsia" w:ascii="宋体" w:hAnsi="宋体"/>
          <w:szCs w:val="21"/>
        </w:rPr>
        <w:t>致</w:t>
      </w:r>
      <w:r>
        <w:rPr>
          <w:rFonts w:hint="eastAsia" w:ascii="宋体" w:hAnsi="宋体"/>
          <w:szCs w:val="21"/>
          <w:u w:val="single"/>
        </w:rPr>
        <w:t xml:space="preserve">            </w:t>
      </w:r>
      <w:r>
        <w:rPr>
          <w:rFonts w:hint="eastAsia" w:ascii="宋体" w:hAnsi="宋体"/>
          <w:szCs w:val="21"/>
        </w:rPr>
        <w:t xml:space="preserve"> (采购人或采购代理机构)：</w:t>
      </w:r>
    </w:p>
    <w:p w14:paraId="1E9AEA9D">
      <w:pPr>
        <w:adjustRightInd w:val="0"/>
        <w:snapToGrid w:val="0"/>
        <w:spacing w:line="360" w:lineRule="auto"/>
        <w:ind w:firstLine="420" w:firstLineChars="200"/>
        <w:rPr>
          <w:rFonts w:hint="eastAsia" w:ascii="宋体" w:hAnsi="宋体"/>
          <w:szCs w:val="21"/>
        </w:rPr>
      </w:pPr>
      <w:r>
        <w:rPr>
          <w:rFonts w:hint="eastAsia" w:ascii="宋体" w:hAnsi="宋体"/>
          <w:szCs w:val="21"/>
        </w:rPr>
        <w:t>我方已仔细研究了</w:t>
      </w:r>
      <w:r>
        <w:rPr>
          <w:rFonts w:hint="eastAsia" w:ascii="宋体" w:hAnsi="宋体"/>
          <w:szCs w:val="21"/>
          <w:u w:val="single"/>
        </w:rPr>
        <w:t xml:space="preserve">                 (</w:t>
      </w:r>
      <w:r>
        <w:rPr>
          <w:rFonts w:hint="eastAsia" w:ascii="宋体" w:hAnsi="宋体"/>
          <w:szCs w:val="21"/>
        </w:rPr>
        <w:t>项目名称)的竞争性磋商文件（采购代理编号：</w:t>
      </w:r>
      <w:r>
        <w:rPr>
          <w:rFonts w:hint="eastAsia" w:ascii="宋体" w:hAnsi="宋体"/>
          <w:szCs w:val="21"/>
          <w:u w:val="single"/>
        </w:rPr>
        <w:t xml:space="preserve">           </w:t>
      </w:r>
      <w:r>
        <w:rPr>
          <w:rFonts w:hint="eastAsia" w:ascii="宋体" w:hAnsi="宋体"/>
          <w:szCs w:val="21"/>
        </w:rPr>
        <w:t>）的全部内容，</w:t>
      </w:r>
      <w:r>
        <w:rPr>
          <w:rFonts w:hint="eastAsia" w:hAnsi="宋体"/>
        </w:rPr>
        <w:t>知悉参加竞争性磋商的风险，我方承诺接受磋商文件的全部条款且无任何异议。</w:t>
      </w:r>
    </w:p>
    <w:p w14:paraId="226498BF">
      <w:pPr>
        <w:pStyle w:val="13"/>
        <w:adjustRightInd w:val="0"/>
        <w:snapToGrid w:val="0"/>
        <w:spacing w:line="360" w:lineRule="auto"/>
        <w:ind w:firstLine="420" w:firstLineChars="200"/>
        <w:rPr>
          <w:rFonts w:hint="eastAsia" w:hAnsi="宋体"/>
        </w:rPr>
      </w:pPr>
      <w:r>
        <w:rPr>
          <w:rFonts w:hint="eastAsia" w:hAnsi="宋体"/>
        </w:rPr>
        <w:t>一、我方同意在磋商文件中规定的提交首次响应文件截止时间起</w:t>
      </w:r>
      <w:r>
        <w:rPr>
          <w:rFonts w:hint="eastAsia" w:hAnsi="宋体"/>
          <w:u w:val="single"/>
        </w:rPr>
        <w:t xml:space="preserve">    </w:t>
      </w:r>
      <w:r>
        <w:rPr>
          <w:rFonts w:hint="eastAsia" w:hAnsi="宋体"/>
        </w:rPr>
        <w:t>日内(响应文件有效期)遵守本响应文件中的承诺且在此期限期满之前均具有法律约束力。</w:t>
      </w:r>
    </w:p>
    <w:p w14:paraId="15D0C3B5">
      <w:pPr>
        <w:pStyle w:val="13"/>
        <w:adjustRightInd w:val="0"/>
        <w:snapToGrid w:val="0"/>
        <w:spacing w:line="360" w:lineRule="auto"/>
        <w:ind w:firstLine="420" w:firstLineChars="200"/>
        <w:rPr>
          <w:rFonts w:hint="eastAsia" w:hAnsi="宋体"/>
        </w:rPr>
      </w:pPr>
      <w:r>
        <w:rPr>
          <w:rFonts w:hint="eastAsia" w:hAnsi="宋体"/>
        </w:rPr>
        <w:t>二、我方提交响应文件正本一份和副本一式</w:t>
      </w:r>
      <w:r>
        <w:rPr>
          <w:rFonts w:hint="eastAsia" w:hAnsi="宋体"/>
          <w:u w:val="single"/>
        </w:rPr>
        <w:t xml:space="preserve">     </w:t>
      </w:r>
      <w:r>
        <w:rPr>
          <w:rFonts w:hint="eastAsia" w:hAnsi="宋体"/>
        </w:rPr>
        <w:t>份，并保证响应文件提供的数据和资料全部内容真实、合法、准确和完整，我们对此负责，并愿承担由此引起的法律责任。</w:t>
      </w:r>
    </w:p>
    <w:p w14:paraId="3702B8BC">
      <w:pPr>
        <w:pStyle w:val="13"/>
        <w:adjustRightInd w:val="0"/>
        <w:snapToGrid w:val="0"/>
        <w:spacing w:line="360" w:lineRule="auto"/>
        <w:ind w:firstLine="420" w:firstLineChars="200"/>
        <w:rPr>
          <w:rFonts w:hint="eastAsia" w:hAnsi="宋体"/>
        </w:rPr>
      </w:pPr>
      <w:r>
        <w:rPr>
          <w:rFonts w:hint="eastAsia" w:hAnsi="宋体"/>
        </w:rPr>
        <w:t>三、我方愿意向贵方提供任何与本项采购有关的数据、情况和技术资料。若贵方需要，我方愿意提供我方作出的一切承诺的证明资料。</w:t>
      </w:r>
    </w:p>
    <w:p w14:paraId="56414E59">
      <w:pPr>
        <w:pStyle w:val="13"/>
        <w:adjustRightInd w:val="0"/>
        <w:snapToGrid w:val="0"/>
        <w:spacing w:line="360" w:lineRule="auto"/>
        <w:ind w:firstLine="420" w:firstLineChars="200"/>
        <w:rPr>
          <w:rFonts w:hint="eastAsia" w:hAnsi="宋体"/>
        </w:rPr>
      </w:pPr>
      <w:r>
        <w:rPr>
          <w:rFonts w:hint="eastAsia" w:hAnsi="宋体"/>
        </w:rPr>
        <w:t>四、我方愿意按磋商文件规定和磋商小组要求重新提交响应文件和最后报价。</w:t>
      </w:r>
    </w:p>
    <w:p w14:paraId="03D078D0">
      <w:pPr>
        <w:pStyle w:val="13"/>
        <w:adjustRightInd w:val="0"/>
        <w:snapToGrid w:val="0"/>
        <w:spacing w:line="360" w:lineRule="auto"/>
        <w:ind w:firstLine="420" w:firstLineChars="200"/>
        <w:rPr>
          <w:rFonts w:hint="eastAsia" w:hAnsi="宋体"/>
        </w:rPr>
      </w:pPr>
      <w:r>
        <w:rPr>
          <w:rFonts w:hint="eastAsia" w:hAnsi="宋体"/>
        </w:rPr>
        <w:t>五、我方承诺遵守《中华人民共和国政府采购法》的有关规定，保证在获得成交资格后，按照磋商文件确定的事项签订政府采购合同，履行双方所签订的合同，并承担合同规定的责任和义务。</w:t>
      </w:r>
    </w:p>
    <w:p w14:paraId="120C6A4B">
      <w:pPr>
        <w:pStyle w:val="13"/>
        <w:adjustRightInd w:val="0"/>
        <w:snapToGrid w:val="0"/>
        <w:spacing w:line="360" w:lineRule="auto"/>
        <w:ind w:firstLine="420" w:firstLineChars="200"/>
        <w:rPr>
          <w:rFonts w:hint="eastAsia" w:hAnsi="宋体"/>
          <w:color w:val="000000"/>
        </w:rPr>
      </w:pPr>
      <w:r>
        <w:rPr>
          <w:rFonts w:hint="eastAsia" w:hAnsi="宋体"/>
        </w:rPr>
        <w:t>六、</w:t>
      </w:r>
      <w:r>
        <w:rPr>
          <w:rFonts w:hint="eastAsia" w:hAnsi="宋体"/>
          <w:color w:val="000000"/>
        </w:rPr>
        <w:t xml:space="preserve">我方在此声明： </w:t>
      </w:r>
    </w:p>
    <w:p w14:paraId="27C13ADD">
      <w:pPr>
        <w:pStyle w:val="13"/>
        <w:adjustRightInd w:val="0"/>
        <w:snapToGrid w:val="0"/>
        <w:spacing w:line="360" w:lineRule="auto"/>
        <w:ind w:firstLine="420" w:firstLineChars="200"/>
        <w:rPr>
          <w:rFonts w:hint="eastAsia" w:hAnsi="宋体"/>
          <w:color w:val="000000"/>
        </w:rPr>
      </w:pPr>
      <w:r>
        <w:rPr>
          <w:rFonts w:hint="eastAsia" w:hAnsi="宋体"/>
          <w:color w:val="000000"/>
        </w:rPr>
        <w:t>（一）我方与采购人或采购代理机构不存在隶属关系或者其他利害关系。</w:t>
      </w:r>
    </w:p>
    <w:p w14:paraId="57596C49">
      <w:pPr>
        <w:pStyle w:val="13"/>
        <w:adjustRightInd w:val="0"/>
        <w:snapToGrid w:val="0"/>
        <w:spacing w:line="360" w:lineRule="auto"/>
        <w:ind w:firstLine="420" w:firstLineChars="200"/>
        <w:rPr>
          <w:rFonts w:hint="eastAsia" w:hAnsi="宋体"/>
          <w:color w:val="000000"/>
        </w:rPr>
      </w:pPr>
      <w:r>
        <w:rPr>
          <w:rFonts w:hint="eastAsia" w:hAnsi="宋体"/>
          <w:color w:val="000000"/>
        </w:rPr>
        <w:t>（二）我方与参加本项目的其他供应商不存在控股、关联关系，或者与其他供应商法定代表人（或者负责人）为同一人。</w:t>
      </w:r>
    </w:p>
    <w:p w14:paraId="15A6D18E">
      <w:pPr>
        <w:pStyle w:val="13"/>
        <w:adjustRightInd w:val="0"/>
        <w:snapToGrid w:val="0"/>
        <w:spacing w:line="360" w:lineRule="auto"/>
        <w:ind w:firstLine="420" w:firstLineChars="200"/>
        <w:rPr>
          <w:rFonts w:hint="eastAsia" w:hAnsi="宋体"/>
          <w:color w:val="000000"/>
        </w:rPr>
      </w:pPr>
      <w:r>
        <w:rPr>
          <w:rFonts w:hint="eastAsia" w:hAnsi="宋体"/>
          <w:color w:val="000000"/>
        </w:rPr>
        <w:t>（三）我方未为本项目前期准备提供设计或咨询服务。</w:t>
      </w:r>
    </w:p>
    <w:p w14:paraId="54743C5D">
      <w:pPr>
        <w:pStyle w:val="13"/>
        <w:adjustRightInd w:val="0"/>
        <w:snapToGrid w:val="0"/>
        <w:spacing w:line="360" w:lineRule="auto"/>
        <w:ind w:firstLine="420" w:firstLineChars="200"/>
        <w:rPr>
          <w:rFonts w:hint="eastAsia" w:hAnsi="宋体"/>
          <w:color w:val="000000"/>
        </w:rPr>
      </w:pPr>
      <w:r>
        <w:rPr>
          <w:rFonts w:hint="eastAsia" w:hAnsi="宋体"/>
          <w:color w:val="000000"/>
        </w:rPr>
        <w:t>（四）我方承诺（承诺期：成立三年以上的，为提交首次响应文件截止时间前三年内；成立不足三年的，为实际时间）：</w:t>
      </w:r>
    </w:p>
    <w:p w14:paraId="11ECE658">
      <w:pPr>
        <w:pStyle w:val="13"/>
        <w:adjustRightInd w:val="0"/>
        <w:snapToGrid w:val="0"/>
        <w:spacing w:line="360" w:lineRule="auto"/>
        <w:ind w:firstLine="420" w:firstLineChars="200"/>
        <w:rPr>
          <w:rFonts w:hint="eastAsia" w:hAnsi="宋体"/>
          <w:color w:val="000000"/>
        </w:rPr>
      </w:pPr>
      <w:r>
        <w:rPr>
          <w:rFonts w:hint="eastAsia" w:hAnsi="宋体"/>
          <w:color w:val="000000"/>
        </w:rPr>
        <w:t>1、我方依法缴纳了各项税费及各项社会保障资金，没有偷税、漏税及欠缴行为。</w:t>
      </w:r>
    </w:p>
    <w:p w14:paraId="30570FEB">
      <w:pPr>
        <w:pStyle w:val="13"/>
        <w:adjustRightInd w:val="0"/>
        <w:snapToGrid w:val="0"/>
        <w:spacing w:line="360" w:lineRule="auto"/>
        <w:ind w:firstLine="420" w:firstLineChars="200"/>
        <w:rPr>
          <w:rFonts w:hint="eastAsia" w:hAnsi="宋体"/>
          <w:color w:val="000000"/>
        </w:rPr>
      </w:pPr>
      <w:r>
        <w:rPr>
          <w:rFonts w:hint="eastAsia" w:hAnsi="宋体"/>
          <w:color w:val="000000"/>
        </w:rPr>
        <w:t>2、我方在经营活动中没有存在下列重大违法记录：</w:t>
      </w:r>
    </w:p>
    <w:p w14:paraId="3A3FC458">
      <w:pPr>
        <w:pStyle w:val="13"/>
        <w:adjustRightInd w:val="0"/>
        <w:snapToGrid w:val="0"/>
        <w:spacing w:line="360" w:lineRule="auto"/>
        <w:ind w:firstLine="420" w:firstLineChars="200"/>
        <w:rPr>
          <w:rFonts w:hint="eastAsia" w:hAnsi="宋体"/>
          <w:color w:val="000000"/>
        </w:rPr>
      </w:pPr>
      <w:r>
        <w:rPr>
          <w:rFonts w:hint="eastAsia" w:hAnsi="宋体"/>
          <w:color w:val="000000"/>
        </w:rPr>
        <w:t>(1)受到刑事处罚；</w:t>
      </w:r>
    </w:p>
    <w:p w14:paraId="2644C4BA">
      <w:pPr>
        <w:pStyle w:val="13"/>
        <w:adjustRightInd w:val="0"/>
        <w:snapToGrid w:val="0"/>
        <w:spacing w:line="360" w:lineRule="auto"/>
        <w:ind w:firstLine="420" w:firstLineChars="200"/>
        <w:rPr>
          <w:rFonts w:hint="eastAsia" w:hAnsi="宋体"/>
          <w:color w:val="000000"/>
        </w:rPr>
      </w:pPr>
      <w:r>
        <w:rPr>
          <w:rFonts w:hint="eastAsia" w:hAnsi="宋体"/>
          <w:color w:val="000000"/>
        </w:rPr>
        <w:t>(2)受到三万元以上的罚款、责令停产停业、在一至三年内禁止参加政府采购活动、暂扣或者吊销许可证、暂扣或者吊销执照的行政处罚。</w:t>
      </w:r>
    </w:p>
    <w:p w14:paraId="726A7C2D">
      <w:pPr>
        <w:adjustRightInd w:val="0"/>
        <w:snapToGrid w:val="0"/>
        <w:spacing w:line="360" w:lineRule="auto"/>
        <w:ind w:right="24"/>
        <w:rPr>
          <w:rFonts w:hint="eastAsia" w:ascii="宋体" w:hAnsi="宋体"/>
          <w:szCs w:val="21"/>
        </w:rPr>
      </w:pPr>
      <w:r>
        <w:rPr>
          <w:rFonts w:hint="eastAsia" w:ascii="宋体" w:hAnsi="宋体"/>
          <w:bCs/>
          <w:szCs w:val="21"/>
        </w:rPr>
        <w:t>附件1：</w:t>
      </w:r>
      <w:r>
        <w:rPr>
          <w:rFonts w:hint="eastAsia" w:ascii="宋体" w:hAnsi="宋体"/>
          <w:szCs w:val="21"/>
        </w:rPr>
        <w:t>法定代表人身份证明</w:t>
      </w:r>
    </w:p>
    <w:p w14:paraId="06B26D4F">
      <w:pPr>
        <w:adjustRightInd w:val="0"/>
        <w:snapToGrid w:val="0"/>
        <w:spacing w:line="360" w:lineRule="auto"/>
        <w:ind w:right="24"/>
        <w:rPr>
          <w:rFonts w:hint="eastAsia" w:ascii="宋体" w:hAnsi="宋体"/>
          <w:szCs w:val="21"/>
        </w:rPr>
      </w:pPr>
      <w:r>
        <w:rPr>
          <w:rFonts w:hint="eastAsia" w:ascii="宋体" w:hAnsi="宋体"/>
          <w:bCs/>
          <w:szCs w:val="21"/>
        </w:rPr>
        <w:t>附件2</w:t>
      </w:r>
      <w:r>
        <w:rPr>
          <w:rFonts w:hint="eastAsia" w:ascii="宋体" w:hAnsi="宋体"/>
          <w:szCs w:val="21"/>
        </w:rPr>
        <w:t>：法定代表人授权书</w:t>
      </w:r>
    </w:p>
    <w:p w14:paraId="7F997B56">
      <w:pPr>
        <w:pStyle w:val="13"/>
        <w:adjustRightInd w:val="0"/>
        <w:snapToGrid w:val="0"/>
        <w:spacing w:line="360" w:lineRule="auto"/>
        <w:rPr>
          <w:rFonts w:hint="eastAsia" w:hAnsi="宋体"/>
        </w:rPr>
      </w:pPr>
    </w:p>
    <w:p w14:paraId="209A5FD8">
      <w:pPr>
        <w:pStyle w:val="13"/>
        <w:adjustRightInd w:val="0"/>
        <w:snapToGrid w:val="0"/>
        <w:spacing w:line="360" w:lineRule="auto"/>
        <w:rPr>
          <w:rFonts w:hint="eastAsia" w:hAnsi="宋体"/>
        </w:rPr>
      </w:pPr>
      <w:r>
        <w:rPr>
          <w:rFonts w:hint="eastAsia" w:hAnsi="宋体"/>
        </w:rPr>
        <w:t>供应商名称(盖单位章)：</w:t>
      </w:r>
    </w:p>
    <w:p w14:paraId="72742B53">
      <w:pPr>
        <w:adjustRightInd w:val="0"/>
        <w:snapToGrid w:val="0"/>
        <w:spacing w:line="360" w:lineRule="auto"/>
        <w:rPr>
          <w:rFonts w:hint="eastAsia" w:ascii="宋体" w:hAnsi="宋体"/>
          <w:szCs w:val="21"/>
        </w:rPr>
      </w:pPr>
      <w:r>
        <w:rPr>
          <w:rFonts w:hint="eastAsia" w:ascii="宋体" w:hAnsi="宋体"/>
          <w:szCs w:val="21"/>
        </w:rPr>
        <w:t>法定代表人或其委托代理人 (签字)：</w:t>
      </w:r>
      <w:r>
        <w:rPr>
          <w:rFonts w:hint="eastAsia" w:ascii="宋体" w:hAnsi="宋体"/>
          <w:szCs w:val="21"/>
          <w:u w:val="single"/>
        </w:rPr>
        <w:t xml:space="preserve">            </w:t>
      </w:r>
    </w:p>
    <w:p w14:paraId="4DD5F5CC">
      <w:pPr>
        <w:adjustRightInd w:val="0"/>
        <w:snapToGrid w:val="0"/>
        <w:spacing w:line="360" w:lineRule="auto"/>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285F6EC3">
      <w:pPr>
        <w:adjustRightInd w:val="0"/>
        <w:snapToGrid w:val="0"/>
        <w:spacing w:line="360" w:lineRule="auto"/>
        <w:ind w:right="24"/>
        <w:rPr>
          <w:rFonts w:hint="eastAsia" w:ascii="黑体" w:hAnsi="黑体" w:eastAsia="黑体"/>
          <w:bCs/>
          <w:sz w:val="30"/>
          <w:szCs w:val="30"/>
          <w:lang w:val="en-US" w:eastAsia="zh-CN"/>
        </w:rPr>
      </w:pPr>
      <w:r>
        <w:rPr>
          <w:rFonts w:hint="eastAsia" w:ascii="黑体" w:hAnsi="黑体" w:eastAsia="黑体"/>
          <w:bCs/>
          <w:sz w:val="30"/>
          <w:szCs w:val="30"/>
        </w:rPr>
        <w:br w:type="page"/>
      </w:r>
      <w:r>
        <w:rPr>
          <w:rFonts w:hint="eastAsia" w:ascii="黑体" w:hAnsi="黑体" w:eastAsia="黑体"/>
          <w:bCs/>
          <w:sz w:val="30"/>
          <w:szCs w:val="30"/>
        </w:rPr>
        <w:t>附件</w:t>
      </w:r>
      <w:r>
        <w:rPr>
          <w:rFonts w:hint="eastAsia" w:ascii="黑体" w:hAnsi="黑体" w:eastAsia="黑体"/>
          <w:bCs/>
          <w:sz w:val="30"/>
          <w:szCs w:val="30"/>
          <w:lang w:val="en-US" w:eastAsia="zh-CN"/>
        </w:rPr>
        <w:t>1</w:t>
      </w:r>
    </w:p>
    <w:p w14:paraId="20FA3698">
      <w:pPr>
        <w:jc w:val="center"/>
        <w:rPr>
          <w:rFonts w:hint="eastAsia" w:ascii="黑体" w:hAnsi="黑体" w:eastAsia="黑体"/>
          <w:b w:val="0"/>
          <w:bCs/>
          <w:sz w:val="30"/>
          <w:szCs w:val="30"/>
        </w:rPr>
      </w:pPr>
      <w:r>
        <w:rPr>
          <w:rFonts w:hint="eastAsia" w:ascii="黑体" w:hAnsi="黑体" w:eastAsia="黑体"/>
          <w:b w:val="0"/>
          <w:bCs/>
          <w:sz w:val="30"/>
          <w:szCs w:val="30"/>
        </w:rPr>
        <w:t>法定代表人身份证明</w:t>
      </w:r>
    </w:p>
    <w:p w14:paraId="2C638D32">
      <w:pPr>
        <w:snapToGrid w:val="0"/>
        <w:spacing w:line="480" w:lineRule="auto"/>
        <w:rPr>
          <w:rFonts w:hint="eastAsia" w:ascii="宋体" w:hAnsi="宋体"/>
          <w:szCs w:val="21"/>
        </w:rPr>
      </w:pPr>
    </w:p>
    <w:p w14:paraId="00588C83">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6440B0FA">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注册号：</w:t>
      </w:r>
      <w:r>
        <w:rPr>
          <w:rFonts w:hint="eastAsia" w:ascii="宋体" w:hAnsi="宋体" w:cs="宋体"/>
          <w:kern w:val="0"/>
          <w:szCs w:val="21"/>
          <w:u w:val="single"/>
        </w:rPr>
        <w:t xml:space="preserve">                  </w:t>
      </w:r>
    </w:p>
    <w:p w14:paraId="61A6691D">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注册地址：</w:t>
      </w:r>
      <w:r>
        <w:rPr>
          <w:rFonts w:hint="eastAsia" w:ascii="宋体" w:hAnsi="宋体" w:cs="宋体"/>
          <w:kern w:val="0"/>
          <w:szCs w:val="21"/>
          <w:u w:val="single"/>
        </w:rPr>
        <w:t xml:space="preserve">                                    </w:t>
      </w:r>
    </w:p>
    <w:p w14:paraId="1CF8134D">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 xml:space="preserve">成立时间： </w:t>
      </w:r>
      <w:r>
        <w:rPr>
          <w:rFonts w:hint="eastAsia" w:ascii="宋体" w:hAnsi="宋体" w:cs="宋体"/>
          <w:kern w:val="0"/>
          <w:szCs w:val="21"/>
          <w:u w:val="single"/>
        </w:rPr>
        <w:t xml:space="preserve">       </w:t>
      </w:r>
      <w:r>
        <w:rPr>
          <w:rFonts w:hint="eastAsia" w:ascii="宋体" w:hAnsi="宋体" w:cs="宋体"/>
          <w:kern w:val="0"/>
          <w:szCs w:val="21"/>
        </w:rPr>
        <w:t xml:space="preserve">年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 xml:space="preserve"> 日</w:t>
      </w:r>
    </w:p>
    <w:p w14:paraId="7941223E">
      <w:pPr>
        <w:autoSpaceDE w:val="0"/>
        <w:autoSpaceDN w:val="0"/>
        <w:adjustRightInd w:val="0"/>
        <w:snapToGrid w:val="0"/>
        <w:spacing w:line="360" w:lineRule="auto"/>
        <w:jc w:val="left"/>
        <w:rPr>
          <w:rFonts w:hint="eastAsia" w:ascii="宋体" w:hAnsi="宋体" w:cs="宋体"/>
          <w:kern w:val="0"/>
          <w:szCs w:val="21"/>
          <w:u w:val="single"/>
        </w:rPr>
      </w:pPr>
      <w:r>
        <w:rPr>
          <w:rFonts w:hint="eastAsia" w:ascii="宋体" w:hAnsi="宋体" w:cs="宋体"/>
          <w:kern w:val="0"/>
          <w:szCs w:val="21"/>
        </w:rPr>
        <w:t>经营期限：</w:t>
      </w:r>
      <w:r>
        <w:rPr>
          <w:rFonts w:hint="eastAsia" w:ascii="宋体" w:hAnsi="宋体" w:cs="宋体"/>
          <w:kern w:val="0"/>
          <w:szCs w:val="21"/>
          <w:u w:val="single"/>
        </w:rPr>
        <w:t xml:space="preserve">                  </w:t>
      </w:r>
    </w:p>
    <w:p w14:paraId="307EFA47">
      <w:pPr>
        <w:autoSpaceDE w:val="0"/>
        <w:autoSpaceDN w:val="0"/>
        <w:adjustRightInd w:val="0"/>
        <w:snapToGrid w:val="0"/>
        <w:spacing w:line="360" w:lineRule="auto"/>
        <w:jc w:val="left"/>
        <w:rPr>
          <w:rFonts w:hint="eastAsia" w:ascii="宋体" w:hAnsi="宋体" w:cs="宋体"/>
          <w:kern w:val="0"/>
          <w:szCs w:val="21"/>
          <w:u w:val="single"/>
        </w:rPr>
      </w:pPr>
      <w:r>
        <w:rPr>
          <w:rFonts w:hint="eastAsia" w:ascii="宋体" w:hAnsi="宋体" w:cs="宋体"/>
          <w:kern w:val="0"/>
          <w:szCs w:val="21"/>
        </w:rPr>
        <w:t>经营范围：主营：</w:t>
      </w:r>
      <w:r>
        <w:rPr>
          <w:rFonts w:hint="eastAsia" w:ascii="宋体" w:hAnsi="宋体" w:cs="宋体"/>
          <w:kern w:val="0"/>
          <w:szCs w:val="21"/>
          <w:u w:val="single"/>
        </w:rPr>
        <w:t xml:space="preserve">              </w:t>
      </w:r>
      <w:r>
        <w:rPr>
          <w:rFonts w:hint="eastAsia" w:ascii="宋体" w:hAnsi="宋体" w:cs="宋体"/>
          <w:kern w:val="0"/>
          <w:szCs w:val="21"/>
        </w:rPr>
        <w:t xml:space="preserve"> ；兼营：</w:t>
      </w:r>
      <w:r>
        <w:rPr>
          <w:rFonts w:hint="eastAsia" w:ascii="宋体" w:hAnsi="宋体" w:cs="宋体"/>
          <w:kern w:val="0"/>
          <w:szCs w:val="21"/>
          <w:u w:val="single"/>
        </w:rPr>
        <w:t xml:space="preserve">              </w:t>
      </w:r>
    </w:p>
    <w:p w14:paraId="055B0BCD">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系</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szCs w:val="21"/>
        </w:rPr>
        <w:t>供应商</w:t>
      </w:r>
      <w:r>
        <w:rPr>
          <w:rFonts w:hint="eastAsia" w:ascii="宋体" w:hAnsi="宋体" w:cs="宋体"/>
          <w:kern w:val="0"/>
          <w:szCs w:val="21"/>
        </w:rPr>
        <w:t>名称）的法定代表人。</w:t>
      </w:r>
    </w:p>
    <w:p w14:paraId="4ABB513F">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特此证明。</w:t>
      </w:r>
    </w:p>
    <w:p w14:paraId="25DEC379">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szCs w:val="21"/>
        </w:rPr>
        <w:t>附：法定代表人身份证复印件</w:t>
      </w:r>
    </w:p>
    <w:p w14:paraId="77AEFDF4">
      <w:pPr>
        <w:snapToGrid w:val="0"/>
        <w:spacing w:line="480" w:lineRule="auto"/>
        <w:rPr>
          <w:rFonts w:hint="eastAsia" w:ascii="宋体" w:hAnsi="宋体"/>
          <w:szCs w:val="21"/>
        </w:rPr>
      </w:pPr>
    </w:p>
    <w:p w14:paraId="3AC8A511">
      <w:pPr>
        <w:snapToGrid w:val="0"/>
        <w:rPr>
          <w:rFonts w:hint="eastAsia" w:ascii="宋体" w:hAnsi="宋体"/>
          <w:szCs w:val="21"/>
        </w:rPr>
      </w:pPr>
    </w:p>
    <w:p w14:paraId="25F5DF32">
      <w:pPr>
        <w:snapToGrid w:val="0"/>
        <w:rPr>
          <w:rFonts w:hint="eastAsia" w:ascii="宋体" w:hAnsi="宋体"/>
          <w:szCs w:val="21"/>
        </w:rPr>
      </w:pPr>
    </w:p>
    <w:p w14:paraId="3F280641">
      <w:pPr>
        <w:snapToGrid w:val="0"/>
        <w:rPr>
          <w:rFonts w:hint="eastAsia" w:ascii="宋体" w:hAnsi="宋体"/>
          <w:szCs w:val="21"/>
        </w:rPr>
      </w:pPr>
    </w:p>
    <w:p w14:paraId="691B1EFD">
      <w:pPr>
        <w:snapToGrid w:val="0"/>
        <w:rPr>
          <w:rFonts w:hint="eastAsia" w:ascii="宋体" w:hAnsi="宋体"/>
          <w:szCs w:val="21"/>
        </w:rPr>
      </w:pPr>
    </w:p>
    <w:p w14:paraId="2315B4E9">
      <w:pPr>
        <w:adjustRightInd w:val="0"/>
        <w:snapToGrid w:val="0"/>
        <w:spacing w:line="360" w:lineRule="auto"/>
        <w:rPr>
          <w:rFonts w:hint="eastAsia" w:ascii="宋体" w:hAnsi="宋体"/>
          <w:szCs w:val="21"/>
        </w:rPr>
      </w:pPr>
    </w:p>
    <w:p w14:paraId="4C1EEE2A">
      <w:pPr>
        <w:adjustRightInd w:val="0"/>
        <w:snapToGrid w:val="0"/>
        <w:spacing w:line="360" w:lineRule="auto"/>
        <w:ind w:right="420"/>
        <w:rPr>
          <w:rFonts w:hint="eastAsia" w:ascii="宋体" w:hAnsi="宋体"/>
          <w:szCs w:val="21"/>
        </w:rPr>
      </w:pPr>
      <w:r>
        <w:rPr>
          <w:rFonts w:hint="eastAsia" w:ascii="宋体" w:hAnsi="宋体"/>
          <w:szCs w:val="21"/>
        </w:rPr>
        <w:t>供应商名称（盖单位章）：</w:t>
      </w:r>
    </w:p>
    <w:p w14:paraId="6524654F">
      <w:pPr>
        <w:adjustRightInd w:val="0"/>
        <w:snapToGrid w:val="0"/>
        <w:spacing w:line="360" w:lineRule="auto"/>
        <w:ind w:right="420"/>
        <w:rPr>
          <w:rFonts w:hint="eastAsia" w:ascii="仿宋_GB2312" w:hAnsi="宋体" w:eastAsia="仿宋_GB2312"/>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 xml:space="preserve">日      </w:t>
      </w:r>
    </w:p>
    <w:p w14:paraId="4C4F0E08">
      <w:pPr>
        <w:adjustRightInd w:val="0"/>
        <w:snapToGrid w:val="0"/>
        <w:spacing w:before="156" w:beforeLines="50" w:line="360" w:lineRule="auto"/>
        <w:rPr>
          <w:rFonts w:hint="eastAsia" w:ascii="仿宋_GB2312" w:hAnsi="宋体" w:eastAsia="仿宋_GB2312"/>
          <w:szCs w:val="21"/>
        </w:rPr>
      </w:pPr>
    </w:p>
    <w:p w14:paraId="3B5B3176">
      <w:pPr>
        <w:adjustRightInd w:val="0"/>
        <w:snapToGrid w:val="0"/>
        <w:spacing w:before="156" w:beforeLines="50" w:line="360" w:lineRule="auto"/>
        <w:rPr>
          <w:rFonts w:hint="eastAsia" w:ascii="仿宋_GB2312" w:hAnsi="宋体" w:eastAsia="仿宋_GB2312"/>
          <w:szCs w:val="21"/>
        </w:rPr>
      </w:pPr>
    </w:p>
    <w:p w14:paraId="524CD03F">
      <w:pPr>
        <w:adjustRightInd w:val="0"/>
        <w:snapToGrid w:val="0"/>
        <w:spacing w:before="156" w:beforeLines="50" w:line="360" w:lineRule="auto"/>
        <w:rPr>
          <w:rFonts w:hint="eastAsia" w:ascii="黑体" w:hAnsi="黑体" w:eastAsia="黑体"/>
          <w:bCs/>
          <w:sz w:val="30"/>
          <w:szCs w:val="30"/>
        </w:rPr>
      </w:pPr>
    </w:p>
    <w:p w14:paraId="1671A0E1">
      <w:pPr>
        <w:adjustRightInd w:val="0"/>
        <w:snapToGrid w:val="0"/>
        <w:spacing w:before="156" w:beforeLines="50" w:line="360" w:lineRule="auto"/>
        <w:rPr>
          <w:rFonts w:hint="eastAsia" w:ascii="黑体" w:hAnsi="黑体" w:eastAsia="黑体"/>
          <w:bCs/>
          <w:sz w:val="30"/>
          <w:szCs w:val="30"/>
        </w:rPr>
      </w:pPr>
    </w:p>
    <w:p w14:paraId="237D9CC9">
      <w:pPr>
        <w:adjustRightInd w:val="0"/>
        <w:snapToGrid w:val="0"/>
        <w:spacing w:before="156" w:beforeLines="50" w:line="360" w:lineRule="auto"/>
        <w:rPr>
          <w:rFonts w:hint="eastAsia" w:ascii="黑体" w:hAnsi="黑体" w:eastAsia="黑体"/>
          <w:bCs/>
          <w:sz w:val="30"/>
          <w:szCs w:val="30"/>
        </w:rPr>
      </w:pPr>
    </w:p>
    <w:p w14:paraId="03011846">
      <w:pPr>
        <w:adjustRightInd w:val="0"/>
        <w:snapToGrid w:val="0"/>
        <w:spacing w:before="156" w:beforeLines="50" w:line="360" w:lineRule="auto"/>
        <w:rPr>
          <w:rFonts w:hint="eastAsia" w:ascii="黑体" w:hAnsi="黑体" w:eastAsia="黑体"/>
          <w:bCs/>
          <w:sz w:val="30"/>
          <w:szCs w:val="30"/>
        </w:rPr>
      </w:pPr>
    </w:p>
    <w:p w14:paraId="626A711C">
      <w:pPr>
        <w:adjustRightInd w:val="0"/>
        <w:snapToGrid w:val="0"/>
        <w:spacing w:before="156" w:beforeLines="50" w:line="360" w:lineRule="auto"/>
        <w:rPr>
          <w:rFonts w:hint="eastAsia" w:ascii="黑体" w:hAnsi="黑体" w:eastAsia="黑体"/>
          <w:bCs/>
          <w:sz w:val="30"/>
          <w:szCs w:val="30"/>
        </w:rPr>
      </w:pPr>
    </w:p>
    <w:p w14:paraId="6AC9DA1D">
      <w:pPr>
        <w:adjustRightInd w:val="0"/>
        <w:snapToGrid w:val="0"/>
        <w:spacing w:before="156" w:beforeLines="50" w:line="360" w:lineRule="auto"/>
        <w:rPr>
          <w:rFonts w:hint="eastAsia" w:ascii="黑体" w:hAnsi="黑体" w:eastAsia="黑体"/>
          <w:bCs/>
          <w:sz w:val="30"/>
          <w:szCs w:val="30"/>
        </w:rPr>
      </w:pPr>
    </w:p>
    <w:p w14:paraId="5659411F">
      <w:pPr>
        <w:adjustRightInd w:val="0"/>
        <w:snapToGrid w:val="0"/>
        <w:spacing w:before="156" w:beforeLines="50" w:line="360" w:lineRule="auto"/>
        <w:rPr>
          <w:rFonts w:hint="eastAsia" w:ascii="黑体" w:hAnsi="黑体" w:eastAsia="黑体"/>
          <w:bCs/>
          <w:sz w:val="30"/>
          <w:szCs w:val="30"/>
        </w:rPr>
      </w:pPr>
    </w:p>
    <w:p w14:paraId="3C7941E8">
      <w:pPr>
        <w:adjustRightInd w:val="0"/>
        <w:snapToGrid w:val="0"/>
        <w:spacing w:before="156" w:beforeLines="50" w:line="360" w:lineRule="auto"/>
        <w:rPr>
          <w:rFonts w:hint="eastAsia" w:ascii="黑体" w:hAnsi="黑体" w:eastAsia="黑体"/>
          <w:sz w:val="30"/>
          <w:szCs w:val="30"/>
          <w:lang w:val="en-US" w:eastAsia="zh-CN"/>
        </w:rPr>
      </w:pPr>
      <w:r>
        <w:rPr>
          <w:rFonts w:hint="eastAsia" w:ascii="黑体" w:hAnsi="黑体" w:eastAsia="黑体"/>
          <w:bCs/>
          <w:sz w:val="30"/>
          <w:szCs w:val="30"/>
        </w:rPr>
        <w:t>附件</w:t>
      </w:r>
      <w:r>
        <w:rPr>
          <w:rFonts w:hint="eastAsia" w:ascii="黑体" w:hAnsi="黑体" w:eastAsia="黑体"/>
          <w:bCs/>
          <w:sz w:val="30"/>
          <w:szCs w:val="30"/>
          <w:lang w:val="en-US" w:eastAsia="zh-CN"/>
        </w:rPr>
        <w:t>2</w:t>
      </w:r>
    </w:p>
    <w:p w14:paraId="276B1543">
      <w:pPr>
        <w:jc w:val="center"/>
        <w:rPr>
          <w:rFonts w:hint="eastAsia" w:ascii="黑体" w:hAnsi="黑体" w:eastAsia="黑体"/>
          <w:b w:val="0"/>
          <w:bCs/>
          <w:sz w:val="30"/>
          <w:szCs w:val="30"/>
        </w:rPr>
      </w:pPr>
      <w:r>
        <w:rPr>
          <w:rFonts w:hint="eastAsia" w:ascii="黑体" w:hAnsi="黑体" w:eastAsia="黑体"/>
          <w:b w:val="0"/>
          <w:bCs/>
          <w:sz w:val="30"/>
          <w:szCs w:val="30"/>
        </w:rPr>
        <w:t>法定代表人授权委托书</w:t>
      </w:r>
    </w:p>
    <w:p w14:paraId="7898ABCE">
      <w:pPr>
        <w:adjustRightInd w:val="0"/>
        <w:snapToGrid w:val="0"/>
        <w:spacing w:line="360" w:lineRule="auto"/>
        <w:jc w:val="center"/>
        <w:rPr>
          <w:rFonts w:hint="eastAsia" w:ascii="黑体" w:hAnsi="华文中宋" w:eastAsia="黑体"/>
          <w:b/>
          <w:sz w:val="28"/>
          <w:szCs w:val="28"/>
        </w:rPr>
      </w:pPr>
    </w:p>
    <w:p w14:paraId="5251B84A">
      <w:pPr>
        <w:autoSpaceDE w:val="0"/>
        <w:autoSpaceDN w:val="0"/>
        <w:adjustRightInd w:val="0"/>
        <w:snapToGrid w:val="0"/>
        <w:spacing w:before="156" w:beforeLines="50" w:line="360" w:lineRule="auto"/>
        <w:ind w:firstLine="420" w:firstLineChars="200"/>
        <w:jc w:val="left"/>
        <w:rPr>
          <w:rFonts w:hint="eastAsia" w:ascii="宋体" w:hAnsi="宋体" w:cs="宋体"/>
          <w:kern w:val="0"/>
          <w:szCs w:val="21"/>
        </w:rPr>
      </w:pPr>
      <w:r>
        <w:rPr>
          <w:rFonts w:hint="eastAsia" w:ascii="宋体" w:hAnsi="宋体" w:cs="宋体"/>
          <w:kern w:val="0"/>
          <w:szCs w:val="21"/>
        </w:rPr>
        <w:t>本人</w:t>
      </w:r>
      <w:r>
        <w:rPr>
          <w:rFonts w:hint="eastAsia" w:ascii="宋体" w:hAnsi="宋体" w:cs="宋体"/>
          <w:kern w:val="0"/>
          <w:szCs w:val="21"/>
          <w:u w:val="single"/>
        </w:rPr>
        <w:t xml:space="preserve">          </w:t>
      </w:r>
      <w:r>
        <w:rPr>
          <w:rFonts w:hint="eastAsia" w:ascii="宋体" w:hAnsi="宋体" w:cs="宋体"/>
          <w:kern w:val="0"/>
          <w:szCs w:val="21"/>
        </w:rPr>
        <w:t>（姓名、职务）系</w:t>
      </w:r>
      <w:r>
        <w:rPr>
          <w:rFonts w:hint="eastAsia" w:ascii="宋体" w:hAnsi="宋体" w:cs="宋体"/>
          <w:kern w:val="0"/>
          <w:szCs w:val="21"/>
          <w:u w:val="single"/>
        </w:rPr>
        <w:t xml:space="preserve">                          </w:t>
      </w:r>
      <w:r>
        <w:rPr>
          <w:rFonts w:hint="eastAsia" w:ascii="宋体" w:hAnsi="宋体" w:cs="宋体"/>
          <w:kern w:val="0"/>
          <w:szCs w:val="21"/>
        </w:rPr>
        <w:t xml:space="preserve"> （</w:t>
      </w:r>
      <w:r>
        <w:rPr>
          <w:rFonts w:hint="eastAsia" w:ascii="宋体" w:hAnsi="宋体"/>
          <w:szCs w:val="21"/>
        </w:rPr>
        <w:t>供应商</w:t>
      </w:r>
      <w:r>
        <w:rPr>
          <w:rFonts w:hint="eastAsia" w:ascii="宋体" w:hAnsi="宋体" w:cs="宋体"/>
          <w:kern w:val="0"/>
          <w:szCs w:val="21"/>
        </w:rPr>
        <w:t>名称）的法定代表人，现授权</w:t>
      </w:r>
      <w:r>
        <w:rPr>
          <w:rFonts w:hint="eastAsia" w:ascii="宋体" w:hAnsi="宋体" w:cs="宋体"/>
          <w:kern w:val="0"/>
          <w:szCs w:val="21"/>
          <w:u w:val="single"/>
        </w:rPr>
        <w:t xml:space="preserve">          </w:t>
      </w:r>
      <w:r>
        <w:rPr>
          <w:rFonts w:hint="eastAsia" w:ascii="宋体" w:hAnsi="宋体" w:cs="宋体"/>
          <w:kern w:val="0"/>
          <w:szCs w:val="21"/>
        </w:rPr>
        <w:t>（姓名、职务）为我方代理人。代理人根据授权，以我方名义：(1)签署、澄清、补正、修改、撤回、提交</w:t>
      </w:r>
      <w:r>
        <w:rPr>
          <w:rFonts w:hint="eastAsia" w:ascii="宋体" w:hAnsi="宋体" w:cs="宋体"/>
          <w:kern w:val="0"/>
          <w:szCs w:val="21"/>
          <w:u w:val="single"/>
        </w:rPr>
        <w:t xml:space="preserve">                     </w:t>
      </w:r>
      <w:r>
        <w:rPr>
          <w:rFonts w:hint="eastAsia" w:ascii="宋体" w:hAnsi="宋体" w:cs="宋体"/>
          <w:kern w:val="0"/>
          <w:szCs w:val="21"/>
        </w:rPr>
        <w:t>（项目名称、采购代理机构编号）响应文件；(2)签署并重新提交响应文件及最后报价；(3)签订合同和处理有关事宜，其法律后果由我方承担。</w:t>
      </w:r>
    </w:p>
    <w:p w14:paraId="6D1B93A4">
      <w:pPr>
        <w:autoSpaceDE w:val="0"/>
        <w:autoSpaceDN w:val="0"/>
        <w:adjustRightInd w:val="0"/>
        <w:snapToGrid w:val="0"/>
        <w:spacing w:before="156" w:beforeLines="50" w:line="360" w:lineRule="auto"/>
        <w:ind w:firstLine="420" w:firstLineChars="200"/>
        <w:jc w:val="left"/>
        <w:rPr>
          <w:rFonts w:hint="eastAsia" w:ascii="宋体" w:hAnsi="宋体" w:cs="宋体"/>
          <w:kern w:val="0"/>
          <w:szCs w:val="21"/>
        </w:rPr>
      </w:pPr>
      <w:r>
        <w:rPr>
          <w:rFonts w:hint="eastAsia" w:ascii="宋体" w:hAnsi="宋体" w:cs="宋体"/>
          <w:kern w:val="0"/>
          <w:szCs w:val="21"/>
        </w:rPr>
        <w:t>委托期限：</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5E5EABC">
      <w:pPr>
        <w:spacing w:line="360" w:lineRule="auto"/>
        <w:ind w:firstLine="435"/>
        <w:rPr>
          <w:rFonts w:hint="eastAsia" w:ascii="宋体" w:hAnsi="宋体" w:cs="宋体"/>
          <w:kern w:val="0"/>
          <w:szCs w:val="21"/>
        </w:rPr>
      </w:pPr>
      <w:r>
        <w:rPr>
          <w:rFonts w:hint="eastAsia" w:ascii="宋体" w:hAnsi="宋体" w:cs="宋体"/>
          <w:kern w:val="0"/>
          <w:szCs w:val="21"/>
        </w:rPr>
        <w:t>代理人无转委托权。</w:t>
      </w:r>
    </w:p>
    <w:p w14:paraId="216F14C9">
      <w:pPr>
        <w:spacing w:line="360" w:lineRule="auto"/>
        <w:ind w:firstLine="435"/>
        <w:rPr>
          <w:rFonts w:hint="eastAsia" w:ascii="宋体" w:hAnsi="宋体"/>
          <w:szCs w:val="21"/>
        </w:rPr>
      </w:pPr>
      <w:r>
        <w:rPr>
          <w:rFonts w:hint="eastAsia" w:ascii="宋体" w:hAnsi="宋体"/>
          <w:szCs w:val="21"/>
        </w:rPr>
        <w:t>本授权书于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日签字生效，特此声明。</w:t>
      </w:r>
    </w:p>
    <w:p w14:paraId="4E933953">
      <w:pPr>
        <w:adjustRightInd w:val="0"/>
        <w:snapToGrid w:val="0"/>
        <w:spacing w:before="156" w:beforeLines="50" w:line="360" w:lineRule="auto"/>
        <w:ind w:firstLine="420" w:firstLineChars="200"/>
        <w:rPr>
          <w:rFonts w:hint="eastAsia" w:ascii="宋体" w:hAnsi="宋体"/>
          <w:szCs w:val="21"/>
        </w:rPr>
      </w:pPr>
      <w:r>
        <w:rPr>
          <w:rFonts w:hint="eastAsia" w:ascii="宋体" w:hAnsi="宋体"/>
          <w:szCs w:val="21"/>
        </w:rPr>
        <w:t>附：委托代理人身份证复印件及法定代表人身份证明(附件1，原件)</w:t>
      </w:r>
    </w:p>
    <w:p w14:paraId="16EADC76">
      <w:pPr>
        <w:adjustRightInd w:val="0"/>
        <w:snapToGrid w:val="0"/>
        <w:spacing w:line="360" w:lineRule="auto"/>
        <w:ind w:right="420"/>
        <w:rPr>
          <w:rFonts w:hint="eastAsia" w:ascii="宋体" w:hAnsi="宋体"/>
          <w:szCs w:val="21"/>
        </w:rPr>
      </w:pPr>
    </w:p>
    <w:p w14:paraId="40A85022">
      <w:pPr>
        <w:adjustRightInd w:val="0"/>
        <w:snapToGrid w:val="0"/>
        <w:spacing w:line="360" w:lineRule="auto"/>
        <w:ind w:right="420"/>
        <w:rPr>
          <w:rFonts w:hint="eastAsia" w:ascii="宋体" w:hAnsi="宋体"/>
          <w:szCs w:val="21"/>
        </w:rPr>
      </w:pPr>
    </w:p>
    <w:p w14:paraId="39B58EEE">
      <w:pPr>
        <w:adjustRightInd w:val="0"/>
        <w:snapToGrid w:val="0"/>
        <w:spacing w:line="360" w:lineRule="auto"/>
        <w:ind w:right="420"/>
        <w:rPr>
          <w:rFonts w:hint="eastAsia" w:ascii="宋体" w:hAnsi="宋体"/>
          <w:szCs w:val="21"/>
        </w:rPr>
      </w:pPr>
    </w:p>
    <w:p w14:paraId="2D145DA4">
      <w:pPr>
        <w:adjustRightInd w:val="0"/>
        <w:snapToGrid w:val="0"/>
        <w:spacing w:line="360" w:lineRule="auto"/>
        <w:ind w:right="420"/>
        <w:rPr>
          <w:rFonts w:hint="eastAsia" w:ascii="宋体" w:hAnsi="宋体"/>
          <w:szCs w:val="21"/>
        </w:rPr>
      </w:pPr>
    </w:p>
    <w:p w14:paraId="64C559B6">
      <w:pPr>
        <w:adjustRightInd w:val="0"/>
        <w:snapToGrid w:val="0"/>
        <w:spacing w:line="360" w:lineRule="auto"/>
        <w:ind w:right="420"/>
        <w:rPr>
          <w:rFonts w:hint="eastAsia" w:ascii="宋体" w:hAnsi="宋体"/>
          <w:szCs w:val="21"/>
        </w:rPr>
      </w:pPr>
    </w:p>
    <w:p w14:paraId="4D008A22">
      <w:pPr>
        <w:adjustRightInd w:val="0"/>
        <w:snapToGrid w:val="0"/>
        <w:spacing w:line="360" w:lineRule="auto"/>
        <w:ind w:right="420"/>
        <w:rPr>
          <w:rFonts w:hint="eastAsia" w:ascii="宋体" w:hAnsi="宋体"/>
          <w:szCs w:val="21"/>
        </w:rPr>
      </w:pPr>
    </w:p>
    <w:p w14:paraId="18D42754">
      <w:pPr>
        <w:adjustRightInd w:val="0"/>
        <w:snapToGrid w:val="0"/>
        <w:spacing w:line="360" w:lineRule="auto"/>
        <w:ind w:right="420"/>
        <w:rPr>
          <w:rFonts w:hint="eastAsia" w:ascii="宋体" w:hAnsi="宋体"/>
          <w:szCs w:val="21"/>
        </w:rPr>
      </w:pPr>
    </w:p>
    <w:p w14:paraId="28ABFFE4">
      <w:pPr>
        <w:adjustRightInd w:val="0"/>
        <w:snapToGrid w:val="0"/>
        <w:spacing w:line="360" w:lineRule="auto"/>
        <w:ind w:right="420"/>
        <w:rPr>
          <w:rFonts w:hint="eastAsia" w:ascii="宋体" w:hAnsi="宋体"/>
          <w:szCs w:val="21"/>
        </w:rPr>
      </w:pPr>
    </w:p>
    <w:p w14:paraId="031A2BCA">
      <w:pPr>
        <w:adjustRightInd w:val="0"/>
        <w:snapToGrid w:val="0"/>
        <w:spacing w:line="360" w:lineRule="auto"/>
        <w:ind w:right="420"/>
        <w:rPr>
          <w:rFonts w:hint="eastAsia" w:ascii="宋体" w:hAnsi="宋体"/>
          <w:szCs w:val="21"/>
        </w:rPr>
      </w:pPr>
      <w:r>
        <w:rPr>
          <w:rFonts w:hint="eastAsia" w:ascii="宋体" w:hAnsi="宋体"/>
          <w:szCs w:val="21"/>
        </w:rPr>
        <w:t>法定代表人（签字）：</w:t>
      </w:r>
      <w:r>
        <w:rPr>
          <w:rFonts w:hint="eastAsia" w:ascii="宋体" w:hAnsi="宋体"/>
          <w:szCs w:val="21"/>
          <w:u w:val="single"/>
        </w:rPr>
        <w:t xml:space="preserve">                     </w:t>
      </w:r>
    </w:p>
    <w:p w14:paraId="42C1A219">
      <w:pPr>
        <w:adjustRightInd w:val="0"/>
        <w:snapToGrid w:val="0"/>
        <w:spacing w:line="360" w:lineRule="auto"/>
        <w:ind w:right="420"/>
        <w:rPr>
          <w:rFonts w:hint="eastAsia" w:ascii="宋体" w:hAnsi="宋体"/>
          <w:szCs w:val="21"/>
        </w:rPr>
      </w:pPr>
      <w:r>
        <w:rPr>
          <w:rFonts w:hint="eastAsia" w:ascii="宋体" w:hAnsi="宋体"/>
          <w:szCs w:val="21"/>
        </w:rPr>
        <w:t>委托代理人（签字）：</w:t>
      </w:r>
      <w:r>
        <w:rPr>
          <w:rFonts w:hint="eastAsia" w:ascii="宋体" w:hAnsi="宋体"/>
          <w:szCs w:val="21"/>
          <w:u w:val="single"/>
        </w:rPr>
        <w:t xml:space="preserve">                     </w:t>
      </w:r>
    </w:p>
    <w:p w14:paraId="2922DC60">
      <w:pPr>
        <w:adjustRightInd w:val="0"/>
        <w:snapToGrid w:val="0"/>
        <w:spacing w:line="360" w:lineRule="auto"/>
        <w:ind w:right="24"/>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D149DE4">
      <w:pPr>
        <w:spacing w:line="360" w:lineRule="exact"/>
        <w:rPr>
          <w:rFonts w:hint="eastAsia" w:ascii="宋体"/>
          <w:b/>
        </w:rPr>
      </w:pPr>
    </w:p>
    <w:p w14:paraId="641A17EC">
      <w:pPr>
        <w:spacing w:line="360" w:lineRule="exact"/>
        <w:rPr>
          <w:rFonts w:hint="eastAsia" w:ascii="宋体"/>
          <w:b/>
        </w:rPr>
      </w:pPr>
    </w:p>
    <w:p w14:paraId="74E51C1C">
      <w:pPr>
        <w:spacing w:line="360" w:lineRule="exact"/>
        <w:rPr>
          <w:rFonts w:hint="eastAsia" w:ascii="宋体"/>
          <w:b/>
        </w:rPr>
      </w:pPr>
    </w:p>
    <w:p w14:paraId="7C5F7157">
      <w:pPr>
        <w:spacing w:line="360" w:lineRule="exact"/>
        <w:rPr>
          <w:rFonts w:hint="eastAsia" w:ascii="宋体"/>
          <w:b/>
        </w:rPr>
      </w:pPr>
    </w:p>
    <w:p w14:paraId="003E8621">
      <w:pPr>
        <w:spacing w:line="360" w:lineRule="exact"/>
        <w:rPr>
          <w:rFonts w:hint="eastAsia" w:ascii="宋体"/>
          <w:b/>
        </w:rPr>
      </w:pPr>
    </w:p>
    <w:p w14:paraId="27A7C959">
      <w:pPr>
        <w:spacing w:line="360" w:lineRule="exact"/>
        <w:rPr>
          <w:rFonts w:hint="eastAsia" w:ascii="宋体"/>
          <w:b/>
        </w:rPr>
      </w:pPr>
    </w:p>
    <w:p w14:paraId="74C315A7">
      <w:pPr>
        <w:spacing w:line="360" w:lineRule="exact"/>
        <w:rPr>
          <w:rFonts w:hint="eastAsia" w:ascii="宋体"/>
          <w:b/>
        </w:rPr>
      </w:pPr>
    </w:p>
    <w:p w14:paraId="2C19B343">
      <w:pPr>
        <w:pStyle w:val="32"/>
        <w:ind w:left="0" w:leftChars="0" w:firstLine="0" w:firstLineChars="0"/>
        <w:rPr>
          <w:rFonts w:hint="eastAsia" w:ascii="宋体"/>
          <w:b/>
        </w:rPr>
      </w:pPr>
    </w:p>
    <w:p w14:paraId="142D6437">
      <w:pPr>
        <w:spacing w:line="360" w:lineRule="exact"/>
        <w:rPr>
          <w:rFonts w:hint="eastAsia" w:ascii="宋体"/>
          <w:b/>
        </w:rPr>
      </w:pPr>
    </w:p>
    <w:p w14:paraId="7F93A032">
      <w:pPr>
        <w:pStyle w:val="4"/>
        <w:bidi w:val="0"/>
        <w:rPr>
          <w:rFonts w:hint="eastAsia"/>
        </w:rPr>
      </w:pPr>
      <w:bookmarkStart w:id="351" w:name="_Toc13011"/>
      <w:bookmarkStart w:id="352" w:name="_Toc18476"/>
      <w:bookmarkStart w:id="353" w:name="_Toc10527"/>
      <w:bookmarkStart w:id="354" w:name="_Toc13828"/>
      <w:r>
        <w:rPr>
          <w:rFonts w:hint="eastAsia"/>
          <w:lang w:eastAsia="zh-CN"/>
        </w:rPr>
        <w:t>二</w:t>
      </w:r>
      <w:r>
        <w:rPr>
          <w:rFonts w:hint="eastAsia"/>
        </w:rPr>
        <w:t>、联合体协议(格式)</w:t>
      </w:r>
      <w:bookmarkEnd w:id="351"/>
      <w:bookmarkEnd w:id="352"/>
      <w:bookmarkEnd w:id="353"/>
      <w:bookmarkEnd w:id="354"/>
    </w:p>
    <w:p w14:paraId="14DFD5C5">
      <w:pPr>
        <w:adjustRightInd w:val="0"/>
        <w:snapToGrid w:val="0"/>
        <w:spacing w:line="360" w:lineRule="auto"/>
        <w:rPr>
          <w:rFonts w:hint="eastAsia" w:ascii="宋体" w:hAnsi="宋体"/>
          <w:sz w:val="24"/>
          <w:szCs w:val="21"/>
        </w:rPr>
      </w:pPr>
    </w:p>
    <w:p w14:paraId="26CE61A8">
      <w:pPr>
        <w:adjustRightInd w:val="0"/>
        <w:snapToGrid w:val="0"/>
        <w:spacing w:line="360" w:lineRule="auto"/>
        <w:rPr>
          <w:rFonts w:hint="eastAsia" w:ascii="宋体" w:hAnsi="宋体"/>
          <w:szCs w:val="21"/>
        </w:rPr>
      </w:pPr>
      <w:r>
        <w:rPr>
          <w:rFonts w:hint="eastAsia" w:ascii="宋体" w:hAnsi="宋体"/>
          <w:szCs w:val="21"/>
        </w:rPr>
        <w:t>致</w:t>
      </w:r>
      <w:r>
        <w:rPr>
          <w:rFonts w:hint="eastAsia" w:ascii="宋体" w:hAnsi="宋体"/>
          <w:szCs w:val="21"/>
          <w:u w:val="single"/>
        </w:rPr>
        <w:t xml:space="preserve">                 </w:t>
      </w:r>
      <w:r>
        <w:rPr>
          <w:rFonts w:hint="eastAsia" w:ascii="宋体" w:hAnsi="宋体"/>
          <w:szCs w:val="21"/>
        </w:rPr>
        <w:t>(采购人或采购代理机构)：</w:t>
      </w:r>
    </w:p>
    <w:p w14:paraId="2A83B42C">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经研究，我们决定自愿组成联合体共同申请参加</w:t>
      </w:r>
      <w:r>
        <w:rPr>
          <w:rFonts w:hint="eastAsia" w:ascii="宋体" w:hAnsi="宋体"/>
          <w:szCs w:val="21"/>
          <w:u w:val="single"/>
        </w:rPr>
        <w:t xml:space="preserve">        </w:t>
      </w:r>
      <w:r>
        <w:rPr>
          <w:rFonts w:hint="eastAsia" w:ascii="宋体" w:hAnsi="宋体"/>
          <w:szCs w:val="21"/>
        </w:rPr>
        <w:t>（项目名称）项目</w:t>
      </w:r>
      <w:r>
        <w:rPr>
          <w:rFonts w:hint="eastAsia" w:ascii="宋体" w:hAnsi="宋体"/>
          <w:szCs w:val="21"/>
          <w:u w:val="single"/>
        </w:rPr>
        <w:t xml:space="preserve">        </w:t>
      </w:r>
      <w:r>
        <w:rPr>
          <w:rFonts w:hint="eastAsia" w:ascii="宋体" w:hAnsi="宋体"/>
          <w:szCs w:val="21"/>
        </w:rPr>
        <w:t>（采购代理编号）的竞争性磋商</w:t>
      </w:r>
      <w:r>
        <w:rPr>
          <w:rFonts w:hint="eastAsia" w:ascii="宋体" w:hAnsi="宋体"/>
          <w:color w:val="000000"/>
          <w:szCs w:val="21"/>
        </w:rPr>
        <w:t>。</w:t>
      </w:r>
      <w:r>
        <w:rPr>
          <w:rFonts w:hint="eastAsia" w:ascii="宋体" w:hAnsi="宋体"/>
          <w:szCs w:val="21"/>
        </w:rPr>
        <w:t>现就联合体事宜订立如下协议：</w:t>
      </w:r>
    </w:p>
    <w:p w14:paraId="7B1B5500">
      <w:pPr>
        <w:adjustRightInd w:val="0"/>
        <w:snapToGrid w:val="0"/>
        <w:spacing w:line="360" w:lineRule="auto"/>
        <w:ind w:firstLine="420" w:firstLineChars="200"/>
        <w:rPr>
          <w:rFonts w:hint="eastAsia" w:ascii="宋体" w:hAnsi="宋体"/>
          <w:szCs w:val="21"/>
          <w:u w:val="single"/>
        </w:rPr>
      </w:pPr>
      <w:r>
        <w:rPr>
          <w:rFonts w:hint="eastAsia" w:ascii="宋体" w:hAnsi="宋体"/>
          <w:szCs w:val="21"/>
        </w:rPr>
        <w:t>一、联合体基本信息：</w:t>
      </w:r>
      <w:r>
        <w:rPr>
          <w:rFonts w:hint="eastAsia" w:ascii="宋体" w:hAnsi="宋体"/>
          <w:szCs w:val="21"/>
          <w:u w:val="single"/>
        </w:rPr>
        <w:t xml:space="preserve">                                  </w:t>
      </w:r>
      <w:r>
        <w:rPr>
          <w:rFonts w:hint="eastAsia" w:ascii="宋体" w:hAnsi="宋体"/>
          <w:szCs w:val="21"/>
        </w:rPr>
        <w:t>（各方公司名称、地址、营业执照、法定代表人姓名）。</w:t>
      </w:r>
    </w:p>
    <w:p w14:paraId="4098991F">
      <w:pPr>
        <w:adjustRightInd w:val="0"/>
        <w:snapToGrid w:val="0"/>
        <w:spacing w:line="360" w:lineRule="auto"/>
        <w:ind w:firstLine="420" w:firstLineChars="200"/>
        <w:rPr>
          <w:rFonts w:hint="eastAsia" w:ascii="宋体" w:hAnsi="宋体"/>
          <w:szCs w:val="21"/>
        </w:rPr>
      </w:pPr>
      <w:r>
        <w:rPr>
          <w:rFonts w:hint="eastAsia" w:ascii="宋体" w:hAnsi="宋体"/>
          <w:szCs w:val="21"/>
        </w:rPr>
        <w:t>二、</w:t>
      </w:r>
      <w:r>
        <w:rPr>
          <w:rFonts w:hint="eastAsia" w:ascii="宋体" w:hAnsi="宋体"/>
          <w:szCs w:val="21"/>
          <w:u w:val="single"/>
        </w:rPr>
        <w:t xml:space="preserve">         </w:t>
      </w:r>
      <w:r>
        <w:rPr>
          <w:rFonts w:hint="eastAsia" w:ascii="宋体" w:hAnsi="宋体"/>
          <w:szCs w:val="21"/>
        </w:rPr>
        <w:t>（某成员单位名称）为</w:t>
      </w:r>
      <w:r>
        <w:rPr>
          <w:rFonts w:hint="eastAsia" w:ascii="宋体" w:hAnsi="宋体"/>
          <w:szCs w:val="21"/>
          <w:u w:val="single"/>
        </w:rPr>
        <w:t xml:space="preserve">         </w:t>
      </w:r>
      <w:r>
        <w:rPr>
          <w:rFonts w:hint="eastAsia" w:ascii="宋体" w:hAnsi="宋体"/>
          <w:szCs w:val="21"/>
        </w:rPr>
        <w:t>（联合体名称）牵头人。</w:t>
      </w:r>
    </w:p>
    <w:p w14:paraId="34C141C9">
      <w:pPr>
        <w:adjustRightInd w:val="0"/>
        <w:snapToGrid w:val="0"/>
        <w:spacing w:line="360" w:lineRule="auto"/>
        <w:ind w:firstLine="420" w:firstLineChars="200"/>
        <w:rPr>
          <w:rFonts w:hint="eastAsia" w:ascii="宋体" w:hAnsi="宋体"/>
          <w:szCs w:val="21"/>
        </w:rPr>
      </w:pPr>
      <w:r>
        <w:rPr>
          <w:rFonts w:hint="eastAsia" w:ascii="宋体" w:hAnsi="宋体"/>
          <w:szCs w:val="21"/>
        </w:rPr>
        <w:t>三、联合体牵头人合法代表联合体各成员负责本项目响应文件编制活动，代表联合体提交和接收相关的资料、信息及指示，并处理与磋商和成交有关的一切事务；联合体成交后，联合体牵头人负责合同订立和合同实施阶段的主办、组织和协调工作。</w:t>
      </w:r>
    </w:p>
    <w:p w14:paraId="57229327">
      <w:pPr>
        <w:adjustRightInd w:val="0"/>
        <w:snapToGrid w:val="0"/>
        <w:spacing w:line="360" w:lineRule="auto"/>
        <w:ind w:firstLine="420" w:firstLineChars="200"/>
        <w:rPr>
          <w:rFonts w:hint="eastAsia" w:ascii="宋体" w:hAnsi="宋体"/>
          <w:szCs w:val="21"/>
        </w:rPr>
      </w:pPr>
      <w:r>
        <w:rPr>
          <w:rFonts w:hint="eastAsia" w:ascii="宋体" w:hAnsi="宋体"/>
          <w:szCs w:val="21"/>
        </w:rPr>
        <w:t>四．联合体将严格按照磋商文件的各项要求，递交响应文件，参加磋商，履行成交义务和成交后的合同，并向采购人承担连带责任。</w:t>
      </w:r>
    </w:p>
    <w:p w14:paraId="76DEF903">
      <w:pPr>
        <w:adjustRightInd w:val="0"/>
        <w:snapToGrid w:val="0"/>
        <w:spacing w:line="360" w:lineRule="auto"/>
        <w:ind w:firstLine="420" w:firstLineChars="200"/>
        <w:rPr>
          <w:rFonts w:hint="eastAsia" w:ascii="宋体" w:hAnsi="宋体"/>
          <w:szCs w:val="21"/>
          <w:u w:val="single"/>
        </w:rPr>
      </w:pPr>
      <w:r>
        <w:rPr>
          <w:rFonts w:hint="eastAsia" w:ascii="宋体" w:hAnsi="宋体"/>
          <w:szCs w:val="21"/>
        </w:rPr>
        <w:t>五、联合体各成员单位内部的职责分工如下：</w:t>
      </w:r>
      <w:r>
        <w:rPr>
          <w:rFonts w:hint="eastAsia" w:ascii="宋体" w:hAnsi="宋体"/>
          <w:szCs w:val="21"/>
          <w:u w:val="single"/>
        </w:rPr>
        <w:t xml:space="preserve">               </w:t>
      </w:r>
      <w:r>
        <w:rPr>
          <w:rFonts w:hint="eastAsia" w:ascii="宋体" w:hAnsi="宋体"/>
          <w:szCs w:val="21"/>
        </w:rPr>
        <w:t>。按照本条上述分工，联合体成员单位各自所承担的合同工作量比例如下：</w:t>
      </w:r>
      <w:r>
        <w:rPr>
          <w:rFonts w:hint="eastAsia" w:ascii="宋体" w:hAnsi="宋体"/>
          <w:szCs w:val="21"/>
          <w:u w:val="single"/>
        </w:rPr>
        <w:t xml:space="preserve">               </w:t>
      </w:r>
      <w:r>
        <w:rPr>
          <w:rFonts w:hint="eastAsia" w:ascii="宋体" w:hAnsi="宋体"/>
          <w:szCs w:val="21"/>
        </w:rPr>
        <w:t>。</w:t>
      </w:r>
    </w:p>
    <w:p w14:paraId="178E1794">
      <w:pPr>
        <w:adjustRightInd w:val="0"/>
        <w:snapToGrid w:val="0"/>
        <w:spacing w:line="360" w:lineRule="auto"/>
        <w:ind w:firstLine="420" w:firstLineChars="200"/>
        <w:rPr>
          <w:rFonts w:hint="eastAsia" w:ascii="宋体" w:hAnsi="宋体"/>
          <w:szCs w:val="21"/>
        </w:rPr>
      </w:pPr>
      <w:r>
        <w:rPr>
          <w:rFonts w:hint="eastAsia" w:ascii="宋体" w:hAnsi="宋体"/>
          <w:szCs w:val="21"/>
        </w:rPr>
        <w:t>六、本协议书自签署之日起生效，合同履行完毕后自动失效。</w:t>
      </w:r>
    </w:p>
    <w:p w14:paraId="6E6FE4E1">
      <w:pPr>
        <w:adjustRightInd w:val="0"/>
        <w:snapToGrid w:val="0"/>
        <w:spacing w:line="360" w:lineRule="auto"/>
        <w:ind w:firstLine="420" w:firstLineChars="200"/>
        <w:rPr>
          <w:rFonts w:hint="eastAsia" w:ascii="宋体" w:hAnsi="宋体"/>
          <w:szCs w:val="21"/>
        </w:rPr>
      </w:pPr>
      <w:r>
        <w:rPr>
          <w:rFonts w:hint="eastAsia" w:ascii="宋体" w:hAnsi="宋体"/>
          <w:szCs w:val="21"/>
        </w:rPr>
        <w:t>七、本协议书一式</w:t>
      </w:r>
      <w:r>
        <w:rPr>
          <w:rFonts w:hint="eastAsia" w:ascii="宋体" w:hAnsi="宋体"/>
          <w:szCs w:val="21"/>
          <w:u w:val="single"/>
        </w:rPr>
        <w:t xml:space="preserve">       </w:t>
      </w:r>
      <w:r>
        <w:rPr>
          <w:rFonts w:hint="eastAsia" w:ascii="宋体" w:hAnsi="宋体"/>
          <w:szCs w:val="21"/>
        </w:rPr>
        <w:t>份，联合体成员和采购人各执一份。</w:t>
      </w:r>
    </w:p>
    <w:p w14:paraId="37C82DAD">
      <w:pPr>
        <w:adjustRightInd w:val="0"/>
        <w:snapToGrid w:val="0"/>
        <w:spacing w:line="360" w:lineRule="auto"/>
        <w:rPr>
          <w:rFonts w:hint="eastAsia" w:ascii="宋体" w:hAnsi="宋体"/>
          <w:szCs w:val="21"/>
        </w:rPr>
      </w:pPr>
      <w:r>
        <w:rPr>
          <w:rFonts w:hint="eastAsia" w:ascii="宋体" w:hAnsi="宋体"/>
          <w:szCs w:val="21"/>
        </w:rPr>
        <w:t>牵头人名称（盖单位章）：</w:t>
      </w:r>
    </w:p>
    <w:p w14:paraId="648C336F">
      <w:pPr>
        <w:adjustRightInd w:val="0"/>
        <w:snapToGrid w:val="0"/>
        <w:spacing w:line="360" w:lineRule="auto"/>
        <w:rPr>
          <w:rFonts w:hint="eastAsia" w:ascii="宋体" w:hAnsi="宋体"/>
          <w:szCs w:val="21"/>
        </w:rPr>
      </w:pPr>
      <w:r>
        <w:rPr>
          <w:rFonts w:hint="eastAsia" w:ascii="宋体" w:hAnsi="宋体"/>
          <w:szCs w:val="21"/>
        </w:rPr>
        <w:t>法定代表人或其委托代理人（签字）：</w:t>
      </w:r>
      <w:r>
        <w:rPr>
          <w:rFonts w:hint="eastAsia" w:ascii="宋体" w:hAnsi="宋体"/>
          <w:szCs w:val="21"/>
          <w:u w:val="single"/>
        </w:rPr>
        <w:t xml:space="preserve">            </w:t>
      </w:r>
    </w:p>
    <w:p w14:paraId="38955DE2">
      <w:pPr>
        <w:adjustRightInd w:val="0"/>
        <w:snapToGrid w:val="0"/>
        <w:spacing w:line="360" w:lineRule="auto"/>
        <w:rPr>
          <w:rFonts w:hint="eastAsia" w:ascii="宋体" w:hAnsi="宋体"/>
          <w:szCs w:val="21"/>
        </w:rPr>
      </w:pPr>
    </w:p>
    <w:p w14:paraId="3D30859C">
      <w:pPr>
        <w:adjustRightInd w:val="0"/>
        <w:snapToGrid w:val="0"/>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成员二名称（盖单位章）：</w:t>
      </w:r>
    </w:p>
    <w:p w14:paraId="13F4857D">
      <w:pPr>
        <w:adjustRightInd w:val="0"/>
        <w:snapToGrid w:val="0"/>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 xml:space="preserve">法定代表人或其委托代理人（签字）：           </w:t>
      </w:r>
    </w:p>
    <w:p w14:paraId="3C3DC4BA">
      <w:pPr>
        <w:adjustRightInd w:val="0"/>
        <w:snapToGrid w:val="0"/>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 xml:space="preserve">        </w:t>
      </w:r>
      <w:bookmarkStart w:id="355" w:name="_Toc12243"/>
      <w:bookmarkStart w:id="356" w:name="_Toc14572"/>
      <w:bookmarkStart w:id="357" w:name="_Toc25595"/>
      <w:r>
        <w:rPr>
          <w:rFonts w:hint="eastAsia" w:ascii="宋体" w:hAnsi="宋体" w:eastAsia="宋体" w:cs="Times New Roman"/>
          <w:szCs w:val="21"/>
        </w:rPr>
        <w:t>年     月   日</w:t>
      </w:r>
      <w:bookmarkEnd w:id="355"/>
      <w:bookmarkEnd w:id="356"/>
      <w:bookmarkEnd w:id="357"/>
      <w:r>
        <w:rPr>
          <w:rFonts w:hint="eastAsia" w:ascii="宋体" w:hAnsi="宋体" w:eastAsia="宋体" w:cs="Times New Roman"/>
          <w:szCs w:val="21"/>
        </w:rPr>
        <w:t xml:space="preserve">  </w:t>
      </w:r>
    </w:p>
    <w:p w14:paraId="238600DE">
      <w:pPr>
        <w:adjustRightInd w:val="0"/>
        <w:snapToGrid w:val="0"/>
        <w:spacing w:line="360" w:lineRule="auto"/>
        <w:rPr>
          <w:rFonts w:hint="eastAsia" w:ascii="仿宋_GB2312" w:hAnsi="宋体" w:eastAsia="仿宋_GB2312"/>
          <w:szCs w:val="21"/>
        </w:rPr>
      </w:pPr>
    </w:p>
    <w:p w14:paraId="1D173D5E">
      <w:pPr>
        <w:adjustRightInd w:val="0"/>
        <w:snapToGrid w:val="0"/>
        <w:spacing w:line="360" w:lineRule="auto"/>
        <w:jc w:val="center"/>
        <w:rPr>
          <w:rFonts w:hint="eastAsia" w:ascii="黑体" w:hAnsi="宋体" w:eastAsia="黑体"/>
          <w:b/>
          <w:sz w:val="32"/>
          <w:szCs w:val="32"/>
        </w:rPr>
      </w:pPr>
    </w:p>
    <w:p w14:paraId="53AE8609">
      <w:pPr>
        <w:adjustRightInd w:val="0"/>
        <w:snapToGrid w:val="0"/>
        <w:spacing w:line="360" w:lineRule="auto"/>
        <w:rPr>
          <w:rFonts w:hint="eastAsia" w:ascii="仿宋_GB2312" w:hAnsi="宋体" w:eastAsia="仿宋_GB2312"/>
          <w:szCs w:val="21"/>
        </w:rPr>
      </w:pPr>
      <w:r>
        <w:rPr>
          <w:rFonts w:hint="eastAsia" w:ascii="仿宋_GB2312" w:hAnsi="宋体" w:eastAsia="仿宋_GB2312"/>
          <w:szCs w:val="21"/>
        </w:rPr>
        <w:t>说明：1、本协议书由委托代理人签字的，应附法定代表人签字的授权委托书。</w:t>
      </w:r>
    </w:p>
    <w:p w14:paraId="5D0CF04B">
      <w:pPr>
        <w:adjustRightInd w:val="0"/>
        <w:snapToGrid w:val="0"/>
        <w:spacing w:line="360" w:lineRule="auto"/>
        <w:ind w:firstLine="630" w:firstLineChars="300"/>
        <w:rPr>
          <w:rFonts w:hint="eastAsia" w:ascii="仿宋_GB2312" w:hAnsi="宋体" w:eastAsia="仿宋_GB2312" w:cs="宋体"/>
          <w:kern w:val="0"/>
          <w:szCs w:val="21"/>
        </w:rPr>
      </w:pPr>
      <w:r>
        <w:rPr>
          <w:rFonts w:hint="eastAsia" w:ascii="仿宋_GB2312" w:hAnsi="宋体" w:eastAsia="仿宋_GB2312"/>
          <w:szCs w:val="21"/>
        </w:rPr>
        <w:t>2、联合体符合</w:t>
      </w:r>
      <w:r>
        <w:rPr>
          <w:rFonts w:hint="eastAsia" w:ascii="仿宋_GB2312" w:hAnsi="宋体" w:eastAsia="仿宋_GB2312" w:cs="宋体"/>
          <w:spacing w:val="6"/>
          <w:kern w:val="0"/>
          <w:szCs w:val="21"/>
        </w:rPr>
        <w:t>《工业和信息化部、国家统计局、国家发展和改革委员会、财政部关于印发中小企业划型标准规定的通知》（工信部联企业[2011]300号）和</w:t>
      </w:r>
      <w:r>
        <w:rPr>
          <w:rFonts w:hint="eastAsia" w:ascii="仿宋_GB2312" w:hAnsi="宋体" w:eastAsia="仿宋_GB2312"/>
          <w:spacing w:val="6"/>
          <w:szCs w:val="21"/>
        </w:rPr>
        <w:t>《财政部</w:t>
      </w:r>
      <w:r>
        <w:rPr>
          <w:rFonts w:hint="eastAsia" w:ascii="仿宋_GB2312" w:hAnsi="宋体" w:eastAsia="仿宋_GB2312"/>
          <w:szCs w:val="21"/>
        </w:rPr>
        <w:t xml:space="preserve"> </w:t>
      </w:r>
      <w:r>
        <w:rPr>
          <w:rFonts w:hint="eastAsia" w:ascii="仿宋_GB2312" w:hAnsi="宋体" w:eastAsia="仿宋_GB2312"/>
          <w:spacing w:val="6"/>
          <w:szCs w:val="21"/>
        </w:rPr>
        <w:t>工业和信息化部</w:t>
      </w:r>
      <w:r>
        <w:rPr>
          <w:rFonts w:hint="eastAsia" w:ascii="仿宋_GB2312" w:hAnsi="宋体" w:eastAsia="仿宋_GB2312"/>
          <w:bCs/>
          <w:szCs w:val="21"/>
        </w:rPr>
        <w:t>关于印发＜政府采购促进中小企业发展暂行办法＞的通知》(</w:t>
      </w:r>
      <w:r>
        <w:rPr>
          <w:rFonts w:hint="eastAsia" w:ascii="仿宋_GB2312" w:hAnsi="宋体" w:eastAsia="仿宋_GB2312"/>
          <w:szCs w:val="21"/>
        </w:rPr>
        <w:t>财库[2011]181号)相关规定的，应提交《附件8-2：</w:t>
      </w:r>
      <w:r>
        <w:rPr>
          <w:rFonts w:hint="eastAsia" w:ascii="仿宋_GB2312" w:hAnsi="宋体" w:eastAsia="仿宋_GB2312" w:cs="宋体"/>
          <w:bCs/>
          <w:spacing w:val="6"/>
          <w:kern w:val="0"/>
          <w:szCs w:val="21"/>
        </w:rPr>
        <w:t>中小企业声明函》。</w:t>
      </w:r>
    </w:p>
    <w:p w14:paraId="22F0D0DA">
      <w:pPr>
        <w:adjustRightInd w:val="0"/>
        <w:snapToGrid w:val="0"/>
        <w:spacing w:line="360" w:lineRule="auto"/>
        <w:jc w:val="center"/>
        <w:rPr>
          <w:rFonts w:hint="eastAsia" w:ascii="黑体" w:hAnsi="宋体" w:eastAsia="黑体"/>
          <w:b/>
          <w:sz w:val="32"/>
          <w:szCs w:val="32"/>
        </w:rPr>
      </w:pPr>
      <w:r>
        <w:rPr>
          <w:rFonts w:hint="eastAsia" w:ascii="宋体" w:hAnsi="宋体" w:eastAsia="宋体" w:cs="宋体"/>
          <w:b/>
          <w:sz w:val="30"/>
          <w:szCs w:val="30"/>
          <w:lang w:eastAsia="zh-CN"/>
        </w:rPr>
        <w:t>（本项目不适用</w:t>
      </w:r>
      <w:r>
        <w:rPr>
          <w:rFonts w:hint="eastAsia" w:ascii="宋体" w:hAnsi="宋体" w:eastAsia="宋体" w:cs="宋体"/>
          <w:b/>
          <w:sz w:val="30"/>
          <w:szCs w:val="30"/>
          <w:lang w:val="en-US" w:eastAsia="zh-CN"/>
        </w:rPr>
        <w:t>)</w:t>
      </w:r>
    </w:p>
    <w:p w14:paraId="57481BD2">
      <w:pPr>
        <w:adjustRightInd w:val="0"/>
        <w:snapToGrid w:val="0"/>
        <w:spacing w:line="360" w:lineRule="auto"/>
        <w:ind w:firstLine="2570" w:firstLineChars="800"/>
        <w:jc w:val="both"/>
        <w:rPr>
          <w:rFonts w:hint="eastAsia" w:ascii="黑体" w:eastAsia="黑体"/>
          <w:b/>
          <w:sz w:val="32"/>
          <w:szCs w:val="32"/>
          <w:lang w:eastAsia="zh-CN"/>
        </w:rPr>
      </w:pPr>
    </w:p>
    <w:p w14:paraId="34B4C0EC">
      <w:pPr>
        <w:pStyle w:val="4"/>
        <w:bidi w:val="0"/>
        <w:rPr>
          <w:rFonts w:hint="eastAsia"/>
        </w:rPr>
      </w:pPr>
      <w:bookmarkStart w:id="358" w:name="_Toc17657"/>
      <w:r>
        <w:rPr>
          <w:rFonts w:hint="eastAsia"/>
          <w:lang w:eastAsia="zh-CN"/>
        </w:rPr>
        <w:t>三</w:t>
      </w:r>
      <w:r>
        <w:rPr>
          <w:rFonts w:hint="eastAsia"/>
        </w:rPr>
        <w:t>、供应商的资格证明资料</w:t>
      </w:r>
      <w:bookmarkEnd w:id="358"/>
    </w:p>
    <w:p w14:paraId="659BBC3B">
      <w:pPr>
        <w:spacing w:line="480" w:lineRule="exact"/>
        <w:jc w:val="both"/>
        <w:rPr>
          <w:rFonts w:hint="eastAsia" w:ascii="黑体" w:hAnsi="黑体" w:eastAsia="黑体"/>
          <w:b w:val="0"/>
          <w:bCs/>
          <w:sz w:val="30"/>
          <w:szCs w:val="30"/>
        </w:rPr>
      </w:pPr>
      <w:r>
        <w:rPr>
          <w:rFonts w:hint="eastAsia" w:ascii="黑体" w:hAnsi="黑体" w:eastAsia="黑体"/>
          <w:bCs/>
          <w:sz w:val="30"/>
          <w:szCs w:val="30"/>
        </w:rPr>
        <w:t>附件</w:t>
      </w:r>
      <w:r>
        <w:rPr>
          <w:rFonts w:hint="eastAsia" w:ascii="黑体" w:hAnsi="黑体" w:eastAsia="黑体"/>
          <w:bCs/>
          <w:sz w:val="30"/>
          <w:szCs w:val="30"/>
          <w:lang w:val="en-US" w:eastAsia="zh-CN"/>
        </w:rPr>
        <w:t>4</w:t>
      </w:r>
      <w:r>
        <w:rPr>
          <w:rFonts w:hint="eastAsia" w:ascii="黑体" w:hAnsi="黑体" w:eastAsia="黑体"/>
          <w:bCs/>
          <w:sz w:val="30"/>
          <w:szCs w:val="30"/>
        </w:rPr>
        <w:t xml:space="preserve">  </w:t>
      </w:r>
      <w:r>
        <w:rPr>
          <w:rFonts w:hint="eastAsia" w:ascii="黑体" w:hAnsi="黑体" w:eastAsia="黑体"/>
          <w:b w:val="0"/>
          <w:bCs/>
          <w:sz w:val="30"/>
          <w:szCs w:val="30"/>
        </w:rPr>
        <w:t xml:space="preserve">           </w:t>
      </w:r>
    </w:p>
    <w:p w14:paraId="683D9B3D">
      <w:pPr>
        <w:spacing w:line="480" w:lineRule="exact"/>
        <w:ind w:firstLine="3300" w:firstLineChars="1100"/>
        <w:jc w:val="both"/>
        <w:rPr>
          <w:rFonts w:hint="eastAsia" w:ascii="方正小标宋_GBK" w:hAnsi="宋体" w:eastAsia="方正小标宋_GBK"/>
          <w:bCs/>
          <w:sz w:val="36"/>
          <w:szCs w:val="36"/>
        </w:rPr>
      </w:pPr>
      <w:r>
        <w:rPr>
          <w:rFonts w:hint="eastAsia" w:ascii="黑体" w:hAnsi="黑体" w:eastAsia="黑体"/>
          <w:b w:val="0"/>
          <w:bCs/>
          <w:sz w:val="30"/>
          <w:szCs w:val="30"/>
        </w:rPr>
        <w:t>供应商基本情况表</w:t>
      </w:r>
    </w:p>
    <w:p w14:paraId="38D60EBA">
      <w:pPr>
        <w:spacing w:line="480" w:lineRule="exact"/>
        <w:rPr>
          <w:rFonts w:hint="eastAsia" w:ascii="黑体" w:hAnsi="黑体" w:eastAsia="黑体"/>
          <w:sz w:val="30"/>
          <w:szCs w:val="30"/>
        </w:rPr>
      </w:pPr>
    </w:p>
    <w:p w14:paraId="4DCC0012">
      <w:pPr>
        <w:adjustRightInd w:val="0"/>
        <w:snapToGrid w:val="0"/>
        <w:spacing w:line="360" w:lineRule="auto"/>
        <w:rPr>
          <w:rFonts w:ascii="宋体" w:hAnsi="宋体"/>
          <w:szCs w:val="21"/>
        </w:rPr>
      </w:pPr>
      <w:r>
        <w:rPr>
          <w:rFonts w:hint="eastAsia" w:ascii="宋体" w:hAnsi="宋体"/>
          <w:szCs w:val="21"/>
        </w:rPr>
        <w:t>盖供应商单位章</w:t>
      </w:r>
    </w:p>
    <w:tbl>
      <w:tblPr>
        <w:tblStyle w:val="22"/>
        <w:tblW w:w="882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590"/>
        <w:gridCol w:w="294"/>
        <w:gridCol w:w="1083"/>
        <w:gridCol w:w="1329"/>
        <w:gridCol w:w="1911"/>
      </w:tblGrid>
      <w:tr w14:paraId="7CEAC8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221A0A9F">
            <w:pPr>
              <w:topLinePunct/>
              <w:spacing w:line="440" w:lineRule="exact"/>
              <w:jc w:val="center"/>
              <w:rPr>
                <w:rFonts w:ascii="宋体" w:hAnsi="宋体"/>
                <w:szCs w:val="21"/>
              </w:rPr>
            </w:pPr>
            <w:r>
              <w:rPr>
                <w:rFonts w:hint="eastAsia" w:ascii="宋体" w:hAnsi="宋体"/>
                <w:szCs w:val="21"/>
              </w:rPr>
              <w:t>供应商</w:t>
            </w:r>
            <w:r>
              <w:rPr>
                <w:rFonts w:ascii="宋体" w:hAnsi="宋体"/>
                <w:szCs w:val="21"/>
              </w:rPr>
              <w:t>名称</w:t>
            </w:r>
          </w:p>
        </w:tc>
        <w:tc>
          <w:tcPr>
            <w:tcW w:w="3960" w:type="dxa"/>
            <w:gridSpan w:val="5"/>
            <w:tcBorders>
              <w:top w:val="double" w:color="auto" w:sz="4" w:space="0"/>
              <w:left w:val="single" w:color="auto" w:sz="6" w:space="0"/>
              <w:bottom w:val="single" w:color="auto" w:sz="6" w:space="0"/>
              <w:right w:val="single" w:color="auto" w:sz="6" w:space="0"/>
            </w:tcBorders>
            <w:noWrap w:val="0"/>
            <w:vAlign w:val="center"/>
          </w:tcPr>
          <w:p w14:paraId="13DA917F">
            <w:pPr>
              <w:topLinePunct/>
              <w:spacing w:line="440" w:lineRule="exact"/>
              <w:jc w:val="center"/>
              <w:rPr>
                <w:rFonts w:ascii="宋体" w:hAnsi="宋体"/>
                <w:szCs w:val="21"/>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70A2BB12">
            <w:pPr>
              <w:topLinePunct/>
              <w:spacing w:line="440" w:lineRule="exact"/>
              <w:jc w:val="center"/>
              <w:rPr>
                <w:rFonts w:ascii="宋体" w:hAnsi="宋体"/>
                <w:szCs w:val="21"/>
              </w:rPr>
            </w:pPr>
            <w:r>
              <w:rPr>
                <w:rFonts w:ascii="宋体" w:hAnsi="宋体"/>
                <w:szCs w:val="21"/>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2B41680D">
            <w:pPr>
              <w:topLinePunct/>
              <w:spacing w:line="440" w:lineRule="exact"/>
              <w:jc w:val="center"/>
              <w:rPr>
                <w:rFonts w:ascii="宋体" w:hAnsi="宋体"/>
                <w:szCs w:val="21"/>
              </w:rPr>
            </w:pPr>
          </w:p>
        </w:tc>
      </w:tr>
      <w:tr w14:paraId="3E7FFC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7A53CE1D">
            <w:pPr>
              <w:topLinePunct/>
              <w:spacing w:line="440" w:lineRule="exact"/>
              <w:jc w:val="center"/>
              <w:rPr>
                <w:rFonts w:ascii="宋体" w:hAnsi="宋体"/>
                <w:szCs w:val="21"/>
              </w:rPr>
            </w:pPr>
            <w:r>
              <w:rPr>
                <w:rFonts w:hint="eastAsia" w:ascii="宋体" w:hAnsi="宋体"/>
                <w:szCs w:val="21"/>
              </w:rPr>
              <w:t>组织机构代码</w:t>
            </w:r>
          </w:p>
        </w:tc>
        <w:tc>
          <w:tcPr>
            <w:tcW w:w="3960" w:type="dxa"/>
            <w:gridSpan w:val="5"/>
            <w:tcBorders>
              <w:top w:val="single" w:color="auto" w:sz="6" w:space="0"/>
              <w:left w:val="single" w:color="auto" w:sz="6" w:space="0"/>
              <w:bottom w:val="single" w:color="auto" w:sz="6" w:space="0"/>
              <w:right w:val="single" w:color="auto" w:sz="6" w:space="0"/>
            </w:tcBorders>
            <w:noWrap w:val="0"/>
            <w:vAlign w:val="center"/>
          </w:tcPr>
          <w:p w14:paraId="54F4741C">
            <w:pPr>
              <w:topLinePunct/>
              <w:spacing w:line="440" w:lineRule="exact"/>
              <w:jc w:val="center"/>
              <w:rPr>
                <w:rFonts w:ascii="宋体" w:hAnsi="宋体"/>
                <w:szCs w:val="21"/>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1197C65A">
            <w:pPr>
              <w:topLinePunct/>
              <w:spacing w:line="440" w:lineRule="exact"/>
              <w:jc w:val="center"/>
              <w:rPr>
                <w:rFonts w:ascii="宋体" w:hAnsi="宋体"/>
                <w:szCs w:val="21"/>
              </w:rPr>
            </w:pPr>
            <w:r>
              <w:rPr>
                <w:rFonts w:ascii="宋体" w:hAnsi="宋体"/>
                <w:szCs w:val="21"/>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324E8917">
            <w:pPr>
              <w:topLinePunct/>
              <w:spacing w:line="440" w:lineRule="exact"/>
              <w:jc w:val="center"/>
              <w:rPr>
                <w:rFonts w:ascii="宋体" w:hAnsi="宋体"/>
                <w:szCs w:val="21"/>
              </w:rPr>
            </w:pPr>
          </w:p>
        </w:tc>
      </w:tr>
      <w:tr w14:paraId="404F78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371F7B56">
            <w:pPr>
              <w:topLinePunct/>
              <w:spacing w:line="440" w:lineRule="exact"/>
              <w:jc w:val="center"/>
              <w:rPr>
                <w:rFonts w:hint="eastAsia" w:ascii="宋体" w:hAnsi="宋体"/>
                <w:szCs w:val="21"/>
              </w:rPr>
            </w:pPr>
            <w:r>
              <w:rPr>
                <w:rFonts w:hint="eastAsia" w:ascii="宋体" w:hAnsi="宋体"/>
                <w:szCs w:val="21"/>
              </w:rPr>
              <w:t>委托代理</w:t>
            </w:r>
            <w:r>
              <w:rPr>
                <w:rFonts w:ascii="宋体" w:hAnsi="宋体"/>
                <w:szCs w:val="21"/>
              </w:rPr>
              <w:t>人</w:t>
            </w:r>
          </w:p>
        </w:tc>
        <w:tc>
          <w:tcPr>
            <w:tcW w:w="3960" w:type="dxa"/>
            <w:gridSpan w:val="5"/>
            <w:tcBorders>
              <w:top w:val="single" w:color="auto" w:sz="6" w:space="0"/>
              <w:left w:val="single" w:color="auto" w:sz="6" w:space="0"/>
              <w:bottom w:val="single" w:color="auto" w:sz="6" w:space="0"/>
              <w:right w:val="single" w:color="auto" w:sz="6" w:space="0"/>
            </w:tcBorders>
            <w:noWrap w:val="0"/>
            <w:vAlign w:val="center"/>
          </w:tcPr>
          <w:p w14:paraId="54988085">
            <w:pPr>
              <w:topLinePunct/>
              <w:spacing w:line="440" w:lineRule="exact"/>
              <w:jc w:val="center"/>
              <w:rPr>
                <w:rFonts w:ascii="宋体" w:hAnsi="宋体"/>
                <w:szCs w:val="21"/>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51FA619A">
            <w:pPr>
              <w:topLinePunct/>
              <w:spacing w:line="440" w:lineRule="exact"/>
              <w:jc w:val="center"/>
              <w:rPr>
                <w:rFonts w:hint="eastAsia" w:ascii="宋体" w:hAnsi="宋体"/>
                <w:szCs w:val="21"/>
              </w:rPr>
            </w:pPr>
            <w:r>
              <w:rPr>
                <w:rFonts w:hint="eastAsia" w:ascii="宋体" w:hAnsi="宋体"/>
                <w:szCs w:val="21"/>
              </w:rPr>
              <w:t>电子邮箱</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733E28DE">
            <w:pPr>
              <w:topLinePunct/>
              <w:spacing w:line="440" w:lineRule="exact"/>
              <w:jc w:val="center"/>
              <w:rPr>
                <w:rFonts w:ascii="宋体" w:hAnsi="宋体"/>
                <w:szCs w:val="21"/>
              </w:rPr>
            </w:pPr>
          </w:p>
        </w:tc>
      </w:tr>
      <w:tr w14:paraId="2E7E3C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62A40CEB">
            <w:pPr>
              <w:topLinePunct/>
              <w:spacing w:line="440" w:lineRule="exact"/>
              <w:jc w:val="center"/>
              <w:rPr>
                <w:rFonts w:hint="eastAsia" w:ascii="宋体" w:hAnsi="宋体"/>
                <w:szCs w:val="21"/>
              </w:rPr>
            </w:pPr>
            <w:r>
              <w:rPr>
                <w:rFonts w:hint="eastAsia" w:ascii="宋体" w:hAnsi="宋体"/>
                <w:szCs w:val="21"/>
              </w:rPr>
              <w:t>上年营业收入</w:t>
            </w:r>
          </w:p>
        </w:tc>
        <w:tc>
          <w:tcPr>
            <w:tcW w:w="3960" w:type="dxa"/>
            <w:gridSpan w:val="5"/>
            <w:tcBorders>
              <w:top w:val="single" w:color="auto" w:sz="6" w:space="0"/>
              <w:left w:val="single" w:color="auto" w:sz="6" w:space="0"/>
              <w:bottom w:val="single" w:color="auto" w:sz="6" w:space="0"/>
              <w:right w:val="single" w:color="auto" w:sz="6" w:space="0"/>
            </w:tcBorders>
            <w:noWrap w:val="0"/>
            <w:vAlign w:val="center"/>
          </w:tcPr>
          <w:p w14:paraId="59464336">
            <w:pPr>
              <w:topLinePunct/>
              <w:spacing w:line="440" w:lineRule="exact"/>
              <w:jc w:val="center"/>
              <w:rPr>
                <w:rFonts w:hint="eastAsia" w:ascii="宋体" w:hAnsi="宋体"/>
                <w:szCs w:val="21"/>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46068348">
            <w:pPr>
              <w:topLinePunct/>
              <w:spacing w:line="440" w:lineRule="exact"/>
              <w:jc w:val="center"/>
              <w:rPr>
                <w:rFonts w:hint="eastAsia" w:ascii="宋体" w:hAnsi="宋体"/>
                <w:szCs w:val="21"/>
              </w:rPr>
            </w:pPr>
            <w:r>
              <w:rPr>
                <w:rFonts w:hint="eastAsia" w:ascii="宋体" w:hAnsi="宋体"/>
                <w:szCs w:val="21"/>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088C6C4F">
            <w:pPr>
              <w:topLinePunct/>
              <w:spacing w:line="440" w:lineRule="exact"/>
              <w:jc w:val="center"/>
              <w:rPr>
                <w:rFonts w:hint="eastAsia" w:ascii="宋体" w:hAnsi="宋体"/>
                <w:szCs w:val="21"/>
              </w:rPr>
            </w:pPr>
          </w:p>
        </w:tc>
      </w:tr>
      <w:tr w14:paraId="59DDEE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vMerge w:val="restart"/>
            <w:tcBorders>
              <w:top w:val="single" w:color="auto" w:sz="6" w:space="0"/>
              <w:left w:val="double" w:color="auto" w:sz="4" w:space="0"/>
              <w:bottom w:val="single" w:color="auto" w:sz="6" w:space="0"/>
              <w:right w:val="single" w:color="auto" w:sz="6" w:space="0"/>
            </w:tcBorders>
            <w:noWrap w:val="0"/>
            <w:vAlign w:val="center"/>
          </w:tcPr>
          <w:p w14:paraId="0D0544DE">
            <w:pPr>
              <w:topLinePunct/>
              <w:spacing w:line="440" w:lineRule="exact"/>
              <w:jc w:val="center"/>
              <w:rPr>
                <w:rFonts w:ascii="宋体" w:hAnsi="宋体"/>
                <w:szCs w:val="21"/>
              </w:rPr>
            </w:pPr>
            <w:r>
              <w:rPr>
                <w:rFonts w:hint="eastAsia" w:ascii="宋体" w:hAnsi="宋体"/>
                <w:szCs w:val="21"/>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31F760F9">
            <w:pPr>
              <w:topLinePunct/>
              <w:spacing w:line="440" w:lineRule="exact"/>
              <w:jc w:val="center"/>
              <w:rPr>
                <w:rFonts w:ascii="宋体" w:hAnsi="宋体"/>
                <w:szCs w:val="21"/>
              </w:rPr>
            </w:pPr>
            <w:r>
              <w:rPr>
                <w:rFonts w:hint="eastAsia" w:ascii="宋体" w:hAnsi="宋体"/>
                <w:szCs w:val="21"/>
              </w:rPr>
              <w:t>注册号码</w:t>
            </w:r>
          </w:p>
        </w:tc>
        <w:tc>
          <w:tcPr>
            <w:tcW w:w="1440" w:type="dxa"/>
            <w:gridSpan w:val="2"/>
            <w:tcBorders>
              <w:top w:val="single" w:color="auto" w:sz="6" w:space="0"/>
              <w:left w:val="single" w:color="auto" w:sz="6" w:space="0"/>
              <w:bottom w:val="single" w:color="auto" w:sz="6" w:space="0"/>
              <w:right w:val="single" w:color="auto" w:sz="6" w:space="0"/>
            </w:tcBorders>
            <w:noWrap w:val="0"/>
            <w:vAlign w:val="center"/>
          </w:tcPr>
          <w:p w14:paraId="420FD900">
            <w:pPr>
              <w:topLinePunct/>
              <w:spacing w:line="440" w:lineRule="exact"/>
              <w:jc w:val="center"/>
              <w:rPr>
                <w:rFonts w:ascii="宋体" w:hAnsi="宋体"/>
                <w:szCs w:val="21"/>
              </w:rPr>
            </w:pPr>
          </w:p>
        </w:tc>
        <w:tc>
          <w:tcPr>
            <w:tcW w:w="1377" w:type="dxa"/>
            <w:gridSpan w:val="2"/>
            <w:tcBorders>
              <w:top w:val="single" w:color="auto" w:sz="6" w:space="0"/>
              <w:left w:val="single" w:color="auto" w:sz="6" w:space="0"/>
              <w:bottom w:val="single" w:color="auto" w:sz="6" w:space="0"/>
              <w:right w:val="single" w:color="auto" w:sz="6" w:space="0"/>
            </w:tcBorders>
            <w:noWrap w:val="0"/>
            <w:vAlign w:val="center"/>
          </w:tcPr>
          <w:p w14:paraId="25451140">
            <w:pPr>
              <w:topLinePunct/>
              <w:spacing w:line="440" w:lineRule="exact"/>
              <w:ind w:firstLine="105" w:firstLineChars="50"/>
              <w:jc w:val="center"/>
              <w:rPr>
                <w:rFonts w:ascii="宋体" w:hAnsi="宋体"/>
                <w:szCs w:val="21"/>
              </w:rPr>
            </w:pPr>
            <w:r>
              <w:rPr>
                <w:rFonts w:hint="eastAsia" w:ascii="宋体" w:hAnsi="宋体"/>
                <w:szCs w:val="21"/>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4A01B03A">
            <w:pPr>
              <w:topLinePunct/>
              <w:spacing w:line="440" w:lineRule="exact"/>
              <w:ind w:firstLine="105" w:firstLineChars="50"/>
              <w:jc w:val="center"/>
              <w:rPr>
                <w:rFonts w:ascii="宋体" w:hAnsi="宋体"/>
                <w:szCs w:val="21"/>
              </w:rPr>
            </w:pPr>
          </w:p>
        </w:tc>
      </w:tr>
      <w:tr w14:paraId="5B9525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vMerge w:val="continue"/>
            <w:tcBorders>
              <w:top w:val="single" w:color="auto" w:sz="6" w:space="0"/>
              <w:left w:val="double" w:color="auto" w:sz="4" w:space="0"/>
              <w:bottom w:val="single" w:color="auto" w:sz="6" w:space="0"/>
              <w:right w:val="single" w:color="auto" w:sz="6" w:space="0"/>
            </w:tcBorders>
            <w:noWrap w:val="0"/>
            <w:vAlign w:val="center"/>
          </w:tcPr>
          <w:p w14:paraId="0B6B700B">
            <w:pPr>
              <w:topLinePunct/>
              <w:spacing w:line="440" w:lineRule="exact"/>
              <w:jc w:val="center"/>
              <w:rPr>
                <w:rFonts w:ascii="宋体" w:hAnsi="宋体"/>
                <w:szCs w:val="21"/>
              </w:rPr>
            </w:pP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256B3718">
            <w:pPr>
              <w:topLinePunct/>
              <w:spacing w:line="440" w:lineRule="exact"/>
              <w:jc w:val="center"/>
              <w:rPr>
                <w:rFonts w:ascii="宋体" w:hAnsi="宋体"/>
                <w:szCs w:val="21"/>
              </w:rPr>
            </w:pPr>
            <w:r>
              <w:rPr>
                <w:rFonts w:hint="eastAsia" w:ascii="宋体" w:hAnsi="宋体"/>
                <w:szCs w:val="21"/>
              </w:rPr>
              <w:t>发证机关</w:t>
            </w:r>
          </w:p>
        </w:tc>
        <w:tc>
          <w:tcPr>
            <w:tcW w:w="1440" w:type="dxa"/>
            <w:gridSpan w:val="2"/>
            <w:tcBorders>
              <w:top w:val="single" w:color="auto" w:sz="6" w:space="0"/>
              <w:left w:val="single" w:color="auto" w:sz="6" w:space="0"/>
              <w:bottom w:val="single" w:color="auto" w:sz="6" w:space="0"/>
              <w:right w:val="single" w:color="auto" w:sz="6" w:space="0"/>
            </w:tcBorders>
            <w:noWrap w:val="0"/>
            <w:vAlign w:val="center"/>
          </w:tcPr>
          <w:p w14:paraId="1018662E">
            <w:pPr>
              <w:topLinePunct/>
              <w:spacing w:line="440" w:lineRule="exact"/>
              <w:jc w:val="center"/>
              <w:rPr>
                <w:rFonts w:ascii="宋体" w:hAnsi="宋体"/>
                <w:szCs w:val="21"/>
              </w:rPr>
            </w:pPr>
          </w:p>
        </w:tc>
        <w:tc>
          <w:tcPr>
            <w:tcW w:w="1377" w:type="dxa"/>
            <w:gridSpan w:val="2"/>
            <w:tcBorders>
              <w:top w:val="single" w:color="auto" w:sz="6" w:space="0"/>
              <w:left w:val="single" w:color="auto" w:sz="6" w:space="0"/>
              <w:bottom w:val="single" w:color="auto" w:sz="6" w:space="0"/>
              <w:right w:val="single" w:color="auto" w:sz="6" w:space="0"/>
            </w:tcBorders>
            <w:noWrap w:val="0"/>
            <w:vAlign w:val="center"/>
          </w:tcPr>
          <w:p w14:paraId="1EB6C744">
            <w:pPr>
              <w:topLinePunct/>
              <w:spacing w:line="440" w:lineRule="exact"/>
              <w:ind w:firstLine="105" w:firstLineChars="50"/>
              <w:jc w:val="center"/>
              <w:rPr>
                <w:rFonts w:ascii="宋体" w:hAnsi="宋体"/>
                <w:szCs w:val="21"/>
              </w:rPr>
            </w:pPr>
            <w:r>
              <w:rPr>
                <w:rFonts w:hint="eastAsia" w:ascii="宋体" w:hAnsi="宋体"/>
                <w:szCs w:val="21"/>
              </w:rPr>
              <w:t>发证日期</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AAADE3D">
            <w:pPr>
              <w:topLinePunct/>
              <w:spacing w:line="440" w:lineRule="exact"/>
              <w:ind w:firstLine="105" w:firstLineChars="50"/>
              <w:jc w:val="center"/>
              <w:rPr>
                <w:rFonts w:ascii="宋体" w:hAnsi="宋体"/>
                <w:szCs w:val="21"/>
              </w:rPr>
            </w:pPr>
          </w:p>
        </w:tc>
      </w:tr>
      <w:tr w14:paraId="7FF553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vMerge w:val="continue"/>
            <w:tcBorders>
              <w:top w:val="single" w:color="auto" w:sz="6" w:space="0"/>
              <w:left w:val="double" w:color="auto" w:sz="4" w:space="0"/>
              <w:bottom w:val="single" w:color="auto" w:sz="6" w:space="0"/>
              <w:right w:val="single" w:color="auto" w:sz="6" w:space="0"/>
            </w:tcBorders>
            <w:noWrap w:val="0"/>
            <w:vAlign w:val="center"/>
          </w:tcPr>
          <w:p w14:paraId="52EA52DA">
            <w:pPr>
              <w:topLinePunct/>
              <w:spacing w:line="440" w:lineRule="exact"/>
              <w:jc w:val="center"/>
              <w:rPr>
                <w:rFonts w:ascii="宋体" w:hAnsi="宋体"/>
                <w:szCs w:val="21"/>
              </w:rPr>
            </w:pP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1BE7BFB4">
            <w:pPr>
              <w:topLinePunct/>
              <w:spacing w:line="440" w:lineRule="exact"/>
              <w:jc w:val="center"/>
              <w:rPr>
                <w:rFonts w:ascii="宋体" w:hAnsi="宋体"/>
                <w:szCs w:val="21"/>
              </w:rPr>
            </w:pPr>
            <w:r>
              <w:rPr>
                <w:rFonts w:hint="eastAsia" w:ascii="宋体" w:hAnsi="宋体"/>
                <w:szCs w:val="21"/>
              </w:rPr>
              <w:t>营业范围（主营）</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6FA96010">
            <w:pPr>
              <w:topLinePunct/>
              <w:spacing w:line="440" w:lineRule="exact"/>
              <w:ind w:firstLine="105" w:firstLineChars="50"/>
              <w:jc w:val="center"/>
              <w:rPr>
                <w:rFonts w:ascii="宋体" w:hAnsi="宋体"/>
                <w:szCs w:val="21"/>
              </w:rPr>
            </w:pPr>
          </w:p>
        </w:tc>
      </w:tr>
      <w:tr w14:paraId="58F67D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vMerge w:val="continue"/>
            <w:tcBorders>
              <w:top w:val="single" w:color="auto" w:sz="6" w:space="0"/>
              <w:left w:val="double" w:color="auto" w:sz="4" w:space="0"/>
              <w:bottom w:val="single" w:color="auto" w:sz="6" w:space="0"/>
              <w:right w:val="single" w:color="auto" w:sz="6" w:space="0"/>
            </w:tcBorders>
            <w:noWrap w:val="0"/>
            <w:vAlign w:val="center"/>
          </w:tcPr>
          <w:p w14:paraId="2BB10985">
            <w:pPr>
              <w:topLinePunct/>
              <w:spacing w:line="440" w:lineRule="exact"/>
              <w:jc w:val="center"/>
              <w:rPr>
                <w:rFonts w:ascii="宋体" w:hAnsi="宋体"/>
                <w:szCs w:val="21"/>
              </w:rPr>
            </w:pP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44B8E25A">
            <w:pPr>
              <w:topLinePunct/>
              <w:spacing w:line="440" w:lineRule="exact"/>
              <w:jc w:val="center"/>
              <w:rPr>
                <w:rFonts w:ascii="宋体" w:hAnsi="宋体"/>
                <w:szCs w:val="21"/>
              </w:rPr>
            </w:pPr>
            <w:r>
              <w:rPr>
                <w:rFonts w:hint="eastAsia" w:ascii="宋体" w:hAnsi="宋体"/>
                <w:szCs w:val="21"/>
              </w:rPr>
              <w:t>营业范围（兼营）</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3C30F9F6">
            <w:pPr>
              <w:topLinePunct/>
              <w:spacing w:line="440" w:lineRule="exact"/>
              <w:ind w:firstLine="105" w:firstLineChars="50"/>
              <w:jc w:val="center"/>
              <w:rPr>
                <w:rFonts w:ascii="宋体" w:hAnsi="宋体"/>
                <w:szCs w:val="21"/>
              </w:rPr>
            </w:pPr>
          </w:p>
        </w:tc>
      </w:tr>
      <w:tr w14:paraId="19C2EB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69511B9E">
            <w:pPr>
              <w:topLinePunct/>
              <w:spacing w:line="440" w:lineRule="exact"/>
              <w:jc w:val="center"/>
              <w:rPr>
                <w:rFonts w:ascii="宋体" w:hAnsi="宋体"/>
                <w:szCs w:val="21"/>
              </w:rPr>
            </w:pPr>
            <w:r>
              <w:rPr>
                <w:rFonts w:hint="eastAsia" w:ascii="宋体" w:hAnsi="宋体"/>
                <w:szCs w:val="21"/>
              </w:rPr>
              <w:t>基本账户开户行及账号</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344981FA">
            <w:pPr>
              <w:topLinePunct/>
              <w:spacing w:line="440" w:lineRule="exact"/>
              <w:jc w:val="center"/>
              <w:rPr>
                <w:rFonts w:ascii="宋体" w:hAnsi="宋体"/>
                <w:szCs w:val="21"/>
              </w:rPr>
            </w:pPr>
          </w:p>
        </w:tc>
      </w:tr>
      <w:tr w14:paraId="09E4A5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29467884">
            <w:pPr>
              <w:topLinePunct/>
              <w:spacing w:line="440" w:lineRule="exact"/>
              <w:jc w:val="center"/>
              <w:rPr>
                <w:rFonts w:ascii="宋体" w:hAnsi="宋体"/>
                <w:szCs w:val="21"/>
              </w:rPr>
            </w:pPr>
            <w:r>
              <w:rPr>
                <w:rFonts w:hint="eastAsia" w:ascii="宋体" w:hAnsi="宋体"/>
                <w:szCs w:val="21"/>
              </w:rPr>
              <w:t>税务登记机关</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443B40CF">
            <w:pPr>
              <w:topLinePunct/>
              <w:spacing w:line="440" w:lineRule="exact"/>
              <w:jc w:val="center"/>
              <w:rPr>
                <w:rFonts w:ascii="宋体" w:hAnsi="宋体"/>
                <w:szCs w:val="21"/>
              </w:rPr>
            </w:pPr>
          </w:p>
        </w:tc>
      </w:tr>
      <w:tr w14:paraId="4C2426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CC80ACD">
            <w:pPr>
              <w:topLinePunct/>
              <w:spacing w:line="440" w:lineRule="exact"/>
              <w:jc w:val="center"/>
              <w:rPr>
                <w:rFonts w:ascii="宋体" w:hAnsi="宋体"/>
                <w:szCs w:val="21"/>
              </w:rPr>
            </w:pPr>
            <w:r>
              <w:rPr>
                <w:rFonts w:ascii="宋体" w:hAnsi="宋体"/>
                <w:szCs w:val="21"/>
              </w:rPr>
              <w:t>资质</w:t>
            </w:r>
            <w:r>
              <w:rPr>
                <w:rFonts w:hint="eastAsia" w:ascii="宋体" w:hAnsi="宋体"/>
                <w:szCs w:val="21"/>
              </w:rPr>
              <w:t>名称</w:t>
            </w: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168FE273">
            <w:pPr>
              <w:topLinePunct/>
              <w:spacing w:line="440" w:lineRule="exact"/>
              <w:jc w:val="center"/>
              <w:rPr>
                <w:rFonts w:ascii="宋体" w:hAnsi="宋体"/>
                <w:szCs w:val="21"/>
              </w:rPr>
            </w:pPr>
            <w:r>
              <w:rPr>
                <w:rFonts w:ascii="宋体" w:hAnsi="宋体"/>
                <w:szCs w:val="21"/>
              </w:rPr>
              <w:t>等级</w:t>
            </w:r>
          </w:p>
        </w:tc>
        <w:tc>
          <w:tcPr>
            <w:tcW w:w="1083" w:type="dxa"/>
            <w:tcBorders>
              <w:top w:val="single" w:color="auto" w:sz="6" w:space="0"/>
              <w:left w:val="single" w:color="auto" w:sz="6" w:space="0"/>
              <w:bottom w:val="single" w:color="auto" w:sz="6" w:space="0"/>
              <w:right w:val="single" w:color="auto" w:sz="6" w:space="0"/>
            </w:tcBorders>
            <w:noWrap w:val="0"/>
            <w:vAlign w:val="center"/>
          </w:tcPr>
          <w:p w14:paraId="0CA36A38">
            <w:pPr>
              <w:topLinePunct/>
              <w:spacing w:line="440" w:lineRule="exact"/>
              <w:jc w:val="center"/>
              <w:rPr>
                <w:rFonts w:ascii="宋体" w:hAnsi="宋体"/>
                <w:szCs w:val="21"/>
              </w:rPr>
            </w:pPr>
            <w:r>
              <w:rPr>
                <w:rFonts w:hint="eastAsia" w:ascii="宋体" w:hAnsi="宋体"/>
                <w:szCs w:val="21"/>
              </w:rPr>
              <w:t>发证机关</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62AB50D9">
            <w:pPr>
              <w:topLinePunct/>
              <w:spacing w:line="440" w:lineRule="exact"/>
              <w:jc w:val="center"/>
              <w:rPr>
                <w:rFonts w:ascii="宋体" w:hAnsi="宋体"/>
                <w:szCs w:val="21"/>
              </w:rPr>
            </w:pPr>
            <w:r>
              <w:rPr>
                <w:rFonts w:hint="eastAsia" w:ascii="宋体" w:hAnsi="宋体"/>
                <w:szCs w:val="21"/>
              </w:rPr>
              <w:t>有效期</w:t>
            </w:r>
          </w:p>
        </w:tc>
      </w:tr>
      <w:tr w14:paraId="34BA24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39CE51DB">
            <w:pPr>
              <w:topLinePunct/>
              <w:spacing w:line="440" w:lineRule="exact"/>
              <w:jc w:val="center"/>
              <w:rPr>
                <w:rFonts w:ascii="宋体" w:hAnsi="宋体"/>
                <w:szCs w:val="21"/>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7EE47AD9">
            <w:pPr>
              <w:topLinePunct/>
              <w:spacing w:line="440" w:lineRule="exact"/>
              <w:jc w:val="center"/>
              <w:rPr>
                <w:rFonts w:ascii="宋体" w:hAnsi="宋体"/>
                <w:szCs w:val="21"/>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695F29F6">
            <w:pPr>
              <w:topLinePunct/>
              <w:spacing w:line="440" w:lineRule="exact"/>
              <w:jc w:val="center"/>
              <w:rPr>
                <w:rFonts w:ascii="宋体" w:hAnsi="宋体"/>
                <w:szCs w:val="21"/>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61B83BB7">
            <w:pPr>
              <w:topLinePunct/>
              <w:spacing w:line="440" w:lineRule="exact"/>
              <w:jc w:val="center"/>
              <w:rPr>
                <w:rFonts w:ascii="宋体" w:hAnsi="宋体"/>
                <w:szCs w:val="21"/>
              </w:rPr>
            </w:pPr>
          </w:p>
        </w:tc>
      </w:tr>
      <w:tr w14:paraId="28DA8D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54D0D3DB">
            <w:pPr>
              <w:topLinePunct/>
              <w:spacing w:line="440" w:lineRule="exact"/>
              <w:jc w:val="center"/>
              <w:rPr>
                <w:rFonts w:ascii="宋体" w:hAnsi="宋体"/>
                <w:szCs w:val="21"/>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5BE65DF1">
            <w:pPr>
              <w:topLinePunct/>
              <w:spacing w:line="440" w:lineRule="exact"/>
              <w:jc w:val="center"/>
              <w:rPr>
                <w:rFonts w:ascii="宋体" w:hAnsi="宋体"/>
                <w:szCs w:val="21"/>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502B9D4F">
            <w:pPr>
              <w:topLinePunct/>
              <w:spacing w:line="440" w:lineRule="exact"/>
              <w:jc w:val="center"/>
              <w:rPr>
                <w:rFonts w:ascii="宋体" w:hAnsi="宋体"/>
                <w:szCs w:val="21"/>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9DF9D11">
            <w:pPr>
              <w:topLinePunct/>
              <w:spacing w:line="440" w:lineRule="exact"/>
              <w:jc w:val="center"/>
              <w:rPr>
                <w:rFonts w:ascii="宋体" w:hAnsi="宋体"/>
                <w:szCs w:val="21"/>
              </w:rPr>
            </w:pPr>
          </w:p>
        </w:tc>
      </w:tr>
      <w:tr w14:paraId="78505D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06874513">
            <w:pPr>
              <w:topLinePunct/>
              <w:spacing w:line="440" w:lineRule="exact"/>
              <w:jc w:val="center"/>
              <w:rPr>
                <w:rFonts w:ascii="宋体" w:hAnsi="宋体"/>
                <w:szCs w:val="21"/>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3C9CD12C">
            <w:pPr>
              <w:topLinePunct/>
              <w:spacing w:line="440" w:lineRule="exact"/>
              <w:jc w:val="center"/>
              <w:rPr>
                <w:rFonts w:ascii="宋体" w:hAnsi="宋体"/>
                <w:szCs w:val="21"/>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598E658B">
            <w:pPr>
              <w:topLinePunct/>
              <w:spacing w:line="440" w:lineRule="exact"/>
              <w:jc w:val="center"/>
              <w:rPr>
                <w:rFonts w:ascii="宋体" w:hAnsi="宋体"/>
                <w:szCs w:val="21"/>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0E83F45">
            <w:pPr>
              <w:topLinePunct/>
              <w:spacing w:line="440" w:lineRule="exact"/>
              <w:jc w:val="center"/>
              <w:rPr>
                <w:rFonts w:ascii="宋体" w:hAnsi="宋体"/>
                <w:szCs w:val="21"/>
              </w:rPr>
            </w:pPr>
          </w:p>
        </w:tc>
      </w:tr>
      <w:tr w14:paraId="10FF67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3FF88C12">
            <w:pPr>
              <w:topLinePunct/>
              <w:spacing w:line="440" w:lineRule="exact"/>
              <w:jc w:val="center"/>
              <w:rPr>
                <w:rFonts w:ascii="宋体" w:hAnsi="宋体"/>
                <w:szCs w:val="21"/>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0ECEEC51">
            <w:pPr>
              <w:topLinePunct/>
              <w:spacing w:line="440" w:lineRule="exact"/>
              <w:jc w:val="center"/>
              <w:rPr>
                <w:rFonts w:ascii="宋体" w:hAnsi="宋体"/>
                <w:szCs w:val="21"/>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6BB97982">
            <w:pPr>
              <w:topLinePunct/>
              <w:spacing w:line="440" w:lineRule="exact"/>
              <w:jc w:val="center"/>
              <w:rPr>
                <w:rFonts w:ascii="宋体" w:hAnsi="宋体"/>
                <w:szCs w:val="21"/>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B3C46A0">
            <w:pPr>
              <w:topLinePunct/>
              <w:spacing w:line="440" w:lineRule="exact"/>
              <w:jc w:val="center"/>
              <w:rPr>
                <w:rFonts w:ascii="宋体" w:hAnsi="宋体"/>
                <w:szCs w:val="21"/>
              </w:rPr>
            </w:pPr>
          </w:p>
        </w:tc>
      </w:tr>
      <w:tr w14:paraId="77E87A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0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01AC13F6">
            <w:pPr>
              <w:topLinePunct/>
              <w:spacing w:line="440" w:lineRule="exact"/>
              <w:jc w:val="center"/>
              <w:rPr>
                <w:rFonts w:ascii="宋体" w:hAnsi="宋体"/>
                <w:szCs w:val="21"/>
              </w:rPr>
            </w:pPr>
            <w:r>
              <w:rPr>
                <w:rFonts w:ascii="宋体" w:hAnsi="宋体"/>
                <w:szCs w:val="21"/>
              </w:rPr>
              <w:t>备注</w:t>
            </w:r>
          </w:p>
        </w:tc>
        <w:tc>
          <w:tcPr>
            <w:tcW w:w="7562" w:type="dxa"/>
            <w:gridSpan w:val="8"/>
            <w:tcBorders>
              <w:top w:val="single" w:color="auto" w:sz="6" w:space="0"/>
              <w:left w:val="single" w:color="auto" w:sz="6" w:space="0"/>
              <w:bottom w:val="double" w:color="auto" w:sz="4" w:space="0"/>
              <w:right w:val="double" w:color="auto" w:sz="4" w:space="0"/>
            </w:tcBorders>
            <w:noWrap w:val="0"/>
            <w:vAlign w:val="center"/>
          </w:tcPr>
          <w:p w14:paraId="7E77C6F8">
            <w:pPr>
              <w:topLinePunct/>
              <w:spacing w:line="440" w:lineRule="exact"/>
              <w:rPr>
                <w:rFonts w:hint="eastAsia" w:ascii="黑体" w:hAnsi="宋体" w:eastAsia="黑体"/>
                <w:szCs w:val="21"/>
              </w:rPr>
            </w:pPr>
            <w:r>
              <w:rPr>
                <w:rFonts w:hint="eastAsia" w:ascii="黑体" w:hAnsi="宋体" w:eastAsia="黑体"/>
                <w:szCs w:val="21"/>
              </w:rPr>
              <w:t>附《营业执照》（副本）复印件</w:t>
            </w:r>
          </w:p>
        </w:tc>
      </w:tr>
    </w:tbl>
    <w:p w14:paraId="31E88718">
      <w:pPr>
        <w:spacing w:line="480" w:lineRule="exact"/>
        <w:jc w:val="both"/>
        <w:rPr>
          <w:rFonts w:hint="eastAsia" w:ascii="黑体" w:hAnsi="黑体" w:eastAsia="黑体"/>
          <w:b w:val="0"/>
          <w:bCs/>
          <w:sz w:val="30"/>
          <w:szCs w:val="30"/>
        </w:rPr>
      </w:pPr>
    </w:p>
    <w:p w14:paraId="59FC2D9F">
      <w:pPr>
        <w:spacing w:line="480" w:lineRule="exact"/>
        <w:jc w:val="both"/>
        <w:rPr>
          <w:rFonts w:hint="eastAsia" w:ascii="黑体" w:hAnsi="黑体" w:eastAsia="黑体"/>
          <w:b w:val="0"/>
          <w:bCs/>
          <w:sz w:val="30"/>
          <w:szCs w:val="30"/>
        </w:rPr>
      </w:pPr>
    </w:p>
    <w:p w14:paraId="14150547">
      <w:pPr>
        <w:spacing w:line="480" w:lineRule="exact"/>
        <w:jc w:val="both"/>
        <w:rPr>
          <w:rFonts w:hint="eastAsia" w:ascii="黑体" w:hAnsi="黑体" w:eastAsia="黑体"/>
          <w:b w:val="0"/>
          <w:bCs/>
          <w:sz w:val="30"/>
          <w:szCs w:val="30"/>
        </w:rPr>
      </w:pPr>
      <w:r>
        <w:rPr>
          <w:rFonts w:hint="eastAsia" w:ascii="黑体" w:hAnsi="黑体" w:eastAsia="黑体"/>
          <w:b w:val="0"/>
          <w:bCs/>
          <w:sz w:val="30"/>
          <w:szCs w:val="30"/>
        </w:rPr>
        <w:t>附件</w:t>
      </w:r>
      <w:r>
        <w:rPr>
          <w:rFonts w:hint="eastAsia" w:ascii="黑体" w:hAnsi="黑体" w:eastAsia="黑体"/>
          <w:b w:val="0"/>
          <w:bCs/>
          <w:sz w:val="30"/>
          <w:szCs w:val="30"/>
          <w:lang w:val="en-US" w:eastAsia="zh-CN"/>
        </w:rPr>
        <w:t>5</w:t>
      </w:r>
      <w:r>
        <w:rPr>
          <w:rFonts w:hint="eastAsia" w:ascii="黑体" w:hAnsi="黑体" w:eastAsia="黑体"/>
          <w:b w:val="0"/>
          <w:bCs/>
          <w:sz w:val="30"/>
          <w:szCs w:val="30"/>
        </w:rPr>
        <w:t xml:space="preserve">    </w:t>
      </w:r>
    </w:p>
    <w:p w14:paraId="44B9C1CF">
      <w:pPr>
        <w:spacing w:line="480" w:lineRule="exact"/>
        <w:ind w:firstLine="1800" w:firstLineChars="600"/>
        <w:jc w:val="both"/>
        <w:rPr>
          <w:rFonts w:hint="eastAsia" w:ascii="黑体" w:hAnsi="黑体" w:eastAsia="黑体"/>
          <w:b w:val="0"/>
          <w:bCs/>
          <w:sz w:val="30"/>
          <w:szCs w:val="30"/>
        </w:rPr>
      </w:pPr>
      <w:r>
        <w:rPr>
          <w:rFonts w:hint="eastAsia" w:ascii="黑体" w:hAnsi="黑体" w:eastAsia="黑体"/>
          <w:b w:val="0"/>
          <w:bCs/>
          <w:sz w:val="30"/>
          <w:szCs w:val="30"/>
        </w:rPr>
        <w:t>磋商文件规定的资格条件证明资料</w:t>
      </w:r>
    </w:p>
    <w:p w14:paraId="7410C9EA">
      <w:pPr>
        <w:spacing w:line="480" w:lineRule="exact"/>
        <w:rPr>
          <w:rFonts w:hint="eastAsia" w:ascii="黑体" w:hAnsi="宋体" w:eastAsia="黑体"/>
          <w:szCs w:val="21"/>
        </w:rPr>
      </w:pPr>
    </w:p>
    <w:p w14:paraId="42329A40">
      <w:pPr>
        <w:spacing w:line="480" w:lineRule="exact"/>
        <w:rPr>
          <w:rFonts w:hint="eastAsia" w:ascii="宋体" w:hAnsi="宋体"/>
          <w:sz w:val="30"/>
          <w:szCs w:val="30"/>
        </w:rPr>
      </w:pPr>
    </w:p>
    <w:p w14:paraId="11A0E89D">
      <w:pPr>
        <w:pStyle w:val="4"/>
        <w:rPr>
          <w:rFonts w:hint="eastAsia" w:ascii="宋体" w:hAnsi="宋体"/>
          <w:sz w:val="30"/>
          <w:szCs w:val="30"/>
        </w:rPr>
      </w:pPr>
    </w:p>
    <w:p w14:paraId="526E668B">
      <w:pPr>
        <w:rPr>
          <w:rFonts w:hint="eastAsia" w:ascii="宋体" w:hAnsi="宋体"/>
          <w:sz w:val="30"/>
          <w:szCs w:val="30"/>
        </w:rPr>
      </w:pPr>
    </w:p>
    <w:p w14:paraId="1EB4ECDA">
      <w:pPr>
        <w:pStyle w:val="4"/>
        <w:rPr>
          <w:rFonts w:hint="eastAsia" w:ascii="宋体" w:hAnsi="宋体"/>
          <w:sz w:val="30"/>
          <w:szCs w:val="30"/>
        </w:rPr>
      </w:pPr>
    </w:p>
    <w:p w14:paraId="7F95DEE8">
      <w:pPr>
        <w:rPr>
          <w:rFonts w:hint="eastAsia" w:ascii="宋体" w:hAnsi="宋体"/>
          <w:sz w:val="30"/>
          <w:szCs w:val="30"/>
        </w:rPr>
      </w:pPr>
    </w:p>
    <w:p w14:paraId="74AA5F74">
      <w:pPr>
        <w:pStyle w:val="4"/>
        <w:rPr>
          <w:rFonts w:hint="eastAsia" w:ascii="宋体" w:hAnsi="宋体"/>
          <w:sz w:val="30"/>
          <w:szCs w:val="30"/>
        </w:rPr>
      </w:pPr>
    </w:p>
    <w:p w14:paraId="407ED9FB">
      <w:pPr>
        <w:rPr>
          <w:rFonts w:hint="eastAsia" w:ascii="宋体" w:hAnsi="宋体"/>
          <w:sz w:val="30"/>
          <w:szCs w:val="30"/>
        </w:rPr>
      </w:pPr>
    </w:p>
    <w:p w14:paraId="07B76254">
      <w:pPr>
        <w:pStyle w:val="4"/>
        <w:rPr>
          <w:rFonts w:hint="eastAsia" w:ascii="宋体" w:hAnsi="宋体"/>
          <w:sz w:val="30"/>
          <w:szCs w:val="30"/>
        </w:rPr>
      </w:pPr>
    </w:p>
    <w:p w14:paraId="2A4B5D31">
      <w:pPr>
        <w:rPr>
          <w:rFonts w:hint="eastAsia" w:ascii="宋体" w:hAnsi="宋体"/>
          <w:sz w:val="30"/>
          <w:szCs w:val="30"/>
        </w:rPr>
      </w:pPr>
    </w:p>
    <w:p w14:paraId="3987B7C1">
      <w:pPr>
        <w:pStyle w:val="4"/>
        <w:rPr>
          <w:rFonts w:hint="eastAsia" w:ascii="宋体" w:hAnsi="宋体"/>
          <w:sz w:val="30"/>
          <w:szCs w:val="30"/>
        </w:rPr>
      </w:pPr>
    </w:p>
    <w:p w14:paraId="303F91CA">
      <w:pPr>
        <w:rPr>
          <w:rFonts w:hint="eastAsia" w:ascii="宋体" w:hAnsi="宋体"/>
          <w:sz w:val="30"/>
          <w:szCs w:val="30"/>
        </w:rPr>
      </w:pPr>
    </w:p>
    <w:p w14:paraId="1986A765">
      <w:pPr>
        <w:pStyle w:val="4"/>
        <w:rPr>
          <w:rFonts w:hint="eastAsia" w:ascii="宋体" w:hAnsi="宋体"/>
          <w:sz w:val="30"/>
          <w:szCs w:val="30"/>
        </w:rPr>
      </w:pPr>
    </w:p>
    <w:p w14:paraId="2B8B14A3">
      <w:pPr>
        <w:rPr>
          <w:rFonts w:hint="eastAsia" w:ascii="宋体" w:hAnsi="宋体"/>
          <w:sz w:val="30"/>
          <w:szCs w:val="30"/>
        </w:rPr>
      </w:pPr>
    </w:p>
    <w:p w14:paraId="25C91308">
      <w:pPr>
        <w:pStyle w:val="4"/>
        <w:rPr>
          <w:rFonts w:hint="eastAsia" w:ascii="宋体" w:hAnsi="宋体"/>
          <w:sz w:val="30"/>
          <w:szCs w:val="30"/>
        </w:rPr>
      </w:pPr>
    </w:p>
    <w:p w14:paraId="2E5114C0">
      <w:pPr>
        <w:rPr>
          <w:rFonts w:hint="eastAsia" w:ascii="宋体" w:hAnsi="宋体"/>
          <w:sz w:val="30"/>
          <w:szCs w:val="30"/>
        </w:rPr>
      </w:pPr>
    </w:p>
    <w:p w14:paraId="78D36E7D">
      <w:pPr>
        <w:pStyle w:val="4"/>
        <w:rPr>
          <w:rFonts w:hint="eastAsia" w:ascii="宋体" w:hAnsi="宋体"/>
          <w:sz w:val="30"/>
          <w:szCs w:val="30"/>
        </w:rPr>
      </w:pPr>
    </w:p>
    <w:p w14:paraId="5486247A">
      <w:pPr>
        <w:rPr>
          <w:rFonts w:hint="eastAsia"/>
        </w:rPr>
      </w:pPr>
    </w:p>
    <w:p w14:paraId="2BEBE0B5">
      <w:pPr>
        <w:spacing w:line="480" w:lineRule="exact"/>
        <w:rPr>
          <w:rFonts w:hint="eastAsia" w:ascii="黑体" w:eastAsia="黑体"/>
          <w:sz w:val="30"/>
          <w:szCs w:val="30"/>
        </w:rPr>
      </w:pPr>
    </w:p>
    <w:p w14:paraId="00188046">
      <w:pPr>
        <w:pStyle w:val="9"/>
        <w:rPr>
          <w:rFonts w:hint="eastAsia"/>
        </w:rPr>
      </w:pPr>
    </w:p>
    <w:p w14:paraId="7824503C">
      <w:pPr>
        <w:rPr>
          <w:rFonts w:hint="eastAsia"/>
        </w:rPr>
      </w:pPr>
    </w:p>
    <w:p w14:paraId="2DC80669">
      <w:pPr>
        <w:pStyle w:val="32"/>
        <w:rPr>
          <w:rFonts w:hint="eastAsia"/>
        </w:rPr>
      </w:pPr>
    </w:p>
    <w:p w14:paraId="2B951E79">
      <w:pPr>
        <w:pStyle w:val="32"/>
        <w:rPr>
          <w:rFonts w:hint="eastAsia"/>
        </w:rPr>
      </w:pPr>
    </w:p>
    <w:p w14:paraId="5EFADE7D">
      <w:pPr>
        <w:pStyle w:val="4"/>
        <w:bidi w:val="0"/>
        <w:rPr>
          <w:rFonts w:hint="eastAsia"/>
          <w:lang w:eastAsia="zh-CN"/>
        </w:rPr>
      </w:pPr>
      <w:bookmarkStart w:id="359" w:name="_Toc8296"/>
      <w:r>
        <w:rPr>
          <w:rFonts w:hint="eastAsia"/>
          <w:lang w:eastAsia="zh-CN"/>
        </w:rPr>
        <w:t>四</w:t>
      </w:r>
      <w:r>
        <w:rPr>
          <w:rFonts w:hint="eastAsia"/>
        </w:rPr>
        <w:t>、</w:t>
      </w:r>
      <w:bookmarkStart w:id="360" w:name="_Toc20849_WPSOffice_Level2"/>
      <w:bookmarkStart w:id="361" w:name="_Toc30122_WPSOffice_Level2"/>
      <w:bookmarkStart w:id="362" w:name="_Toc21180_WPSOffice_Level2"/>
      <w:r>
        <w:rPr>
          <w:rFonts w:hint="eastAsia"/>
          <w:lang w:eastAsia="zh-CN"/>
        </w:rPr>
        <w:t>施工组织设计</w:t>
      </w:r>
      <w:bookmarkEnd w:id="359"/>
      <w:bookmarkEnd w:id="360"/>
      <w:bookmarkEnd w:id="361"/>
      <w:bookmarkEnd w:id="362"/>
    </w:p>
    <w:p w14:paraId="179BD532">
      <w:pPr>
        <w:adjustRightInd w:val="0"/>
        <w:snapToGrid w:val="0"/>
        <w:ind w:left="-88" w:leftChars="-42" w:firstLine="210" w:firstLineChars="100"/>
        <w:rPr>
          <w:rFonts w:hint="eastAsia" w:ascii="宋体" w:hAnsi="宋体"/>
          <w:bCs/>
          <w:szCs w:val="21"/>
        </w:rPr>
      </w:pPr>
    </w:p>
    <w:p w14:paraId="397510A2">
      <w:pPr>
        <w:adjustRightInd w:val="0"/>
        <w:snapToGrid w:val="0"/>
        <w:spacing w:line="360" w:lineRule="auto"/>
        <w:ind w:firstLine="580" w:firstLineChars="200"/>
        <w:rPr>
          <w:rFonts w:hint="eastAsia" w:ascii="仿宋_GB2312" w:hAnsi="宋体" w:eastAsia="仿宋_GB2312" w:cs="Times New Roman"/>
          <w:bCs/>
          <w:sz w:val="29"/>
          <w:szCs w:val="21"/>
        </w:rPr>
      </w:pPr>
    </w:p>
    <w:p w14:paraId="6B5CDCFD">
      <w:pPr>
        <w:adjustRightInd w:val="0"/>
        <w:snapToGrid w:val="0"/>
        <w:rPr>
          <w:rFonts w:hint="eastAsia" w:ascii="宋体" w:hAnsi="宋体"/>
          <w:szCs w:val="21"/>
        </w:rPr>
      </w:pPr>
    </w:p>
    <w:p w14:paraId="79239A4D">
      <w:pPr>
        <w:adjustRightInd w:val="0"/>
        <w:snapToGrid w:val="0"/>
        <w:rPr>
          <w:rFonts w:hint="eastAsia" w:ascii="宋体" w:hAnsi="宋体"/>
          <w:szCs w:val="21"/>
        </w:rPr>
      </w:pPr>
    </w:p>
    <w:p w14:paraId="7563DA6C">
      <w:pPr>
        <w:adjustRightInd w:val="0"/>
        <w:snapToGrid w:val="0"/>
        <w:rPr>
          <w:rFonts w:hint="eastAsia" w:ascii="宋体" w:hAnsi="宋体"/>
          <w:szCs w:val="21"/>
        </w:rPr>
      </w:pPr>
    </w:p>
    <w:p w14:paraId="5F81315A">
      <w:pPr>
        <w:adjustRightInd w:val="0"/>
        <w:snapToGrid w:val="0"/>
        <w:rPr>
          <w:rFonts w:hint="eastAsia" w:ascii="宋体" w:hAnsi="宋体"/>
          <w:szCs w:val="21"/>
        </w:rPr>
      </w:pPr>
    </w:p>
    <w:p w14:paraId="47E5E764">
      <w:pPr>
        <w:adjustRightInd w:val="0"/>
        <w:snapToGrid w:val="0"/>
        <w:rPr>
          <w:rFonts w:hint="eastAsia" w:ascii="宋体" w:hAnsi="宋体"/>
          <w:szCs w:val="21"/>
        </w:rPr>
      </w:pPr>
    </w:p>
    <w:p w14:paraId="6823EDD9">
      <w:pPr>
        <w:adjustRightInd w:val="0"/>
        <w:snapToGrid w:val="0"/>
        <w:rPr>
          <w:rFonts w:hint="eastAsia" w:ascii="宋体" w:hAnsi="宋体"/>
          <w:szCs w:val="21"/>
        </w:rPr>
      </w:pPr>
    </w:p>
    <w:p w14:paraId="17E1536C">
      <w:pPr>
        <w:adjustRightInd w:val="0"/>
        <w:snapToGrid w:val="0"/>
        <w:rPr>
          <w:rFonts w:hint="eastAsia" w:ascii="宋体" w:hAnsi="宋体"/>
          <w:szCs w:val="21"/>
        </w:rPr>
      </w:pPr>
    </w:p>
    <w:p w14:paraId="185B05EA">
      <w:pPr>
        <w:adjustRightInd w:val="0"/>
        <w:snapToGrid w:val="0"/>
        <w:rPr>
          <w:rFonts w:hint="eastAsia" w:ascii="宋体" w:hAnsi="宋体"/>
          <w:szCs w:val="21"/>
        </w:rPr>
      </w:pPr>
    </w:p>
    <w:p w14:paraId="3C10258B">
      <w:pPr>
        <w:adjustRightInd w:val="0"/>
        <w:snapToGrid w:val="0"/>
        <w:rPr>
          <w:rFonts w:hint="eastAsia" w:ascii="宋体" w:hAnsi="宋体"/>
          <w:szCs w:val="21"/>
        </w:rPr>
      </w:pPr>
    </w:p>
    <w:p w14:paraId="539823F6">
      <w:pPr>
        <w:adjustRightInd w:val="0"/>
        <w:snapToGrid w:val="0"/>
        <w:rPr>
          <w:rFonts w:hint="eastAsia" w:ascii="宋体" w:hAnsi="宋体"/>
          <w:szCs w:val="21"/>
        </w:rPr>
      </w:pPr>
    </w:p>
    <w:p w14:paraId="387E31D5">
      <w:pPr>
        <w:adjustRightInd w:val="0"/>
        <w:snapToGrid w:val="0"/>
        <w:rPr>
          <w:rFonts w:hint="eastAsia" w:ascii="宋体" w:hAnsi="宋体"/>
          <w:szCs w:val="21"/>
        </w:rPr>
      </w:pPr>
    </w:p>
    <w:p w14:paraId="5954F891">
      <w:pPr>
        <w:adjustRightInd w:val="0"/>
        <w:snapToGrid w:val="0"/>
        <w:rPr>
          <w:rFonts w:hint="eastAsia" w:ascii="宋体" w:hAnsi="宋体"/>
          <w:szCs w:val="21"/>
        </w:rPr>
      </w:pPr>
    </w:p>
    <w:p w14:paraId="32ABAECB">
      <w:pPr>
        <w:adjustRightInd w:val="0"/>
        <w:snapToGrid w:val="0"/>
        <w:rPr>
          <w:rFonts w:hint="eastAsia" w:ascii="宋体" w:hAnsi="宋体"/>
          <w:szCs w:val="21"/>
        </w:rPr>
      </w:pPr>
    </w:p>
    <w:p w14:paraId="3F22727D">
      <w:pPr>
        <w:adjustRightInd w:val="0"/>
        <w:snapToGrid w:val="0"/>
        <w:rPr>
          <w:rFonts w:hint="eastAsia" w:ascii="黑体" w:eastAsia="黑体"/>
          <w:sz w:val="30"/>
          <w:szCs w:val="30"/>
        </w:rPr>
      </w:pPr>
      <w:r>
        <w:rPr>
          <w:rFonts w:hint="eastAsia" w:ascii="黑体" w:eastAsia="黑体"/>
          <w:sz w:val="30"/>
          <w:szCs w:val="30"/>
        </w:rPr>
        <w:br w:type="page"/>
      </w:r>
      <w:r>
        <w:rPr>
          <w:rFonts w:hint="eastAsia" w:ascii="黑体" w:eastAsia="黑体"/>
          <w:sz w:val="30"/>
          <w:szCs w:val="30"/>
        </w:rPr>
        <w:t>附件</w:t>
      </w:r>
      <w:r>
        <w:rPr>
          <w:rFonts w:hint="eastAsia" w:ascii="黑体" w:eastAsia="黑体"/>
          <w:sz w:val="30"/>
          <w:szCs w:val="30"/>
          <w:lang w:val="en-US" w:eastAsia="zh-CN"/>
        </w:rPr>
        <w:t>7</w:t>
      </w:r>
      <w:r>
        <w:rPr>
          <w:rFonts w:hint="eastAsia" w:ascii="黑体" w:eastAsia="黑体"/>
          <w:sz w:val="30"/>
          <w:szCs w:val="30"/>
        </w:rPr>
        <w:t>：</w:t>
      </w:r>
    </w:p>
    <w:p w14:paraId="4662FCCA">
      <w:pPr>
        <w:adjustRightInd w:val="0"/>
        <w:snapToGrid w:val="0"/>
        <w:spacing w:line="360" w:lineRule="auto"/>
        <w:rPr>
          <w:rFonts w:hint="eastAsia" w:ascii="宋体" w:hAnsi="宋体"/>
          <w:sz w:val="30"/>
          <w:szCs w:val="30"/>
        </w:rPr>
      </w:pPr>
    </w:p>
    <w:p w14:paraId="4D58FD90">
      <w:pPr>
        <w:spacing w:line="480" w:lineRule="exact"/>
        <w:jc w:val="center"/>
        <w:rPr>
          <w:rFonts w:hint="eastAsia" w:ascii="黑体" w:hAnsi="黑体" w:eastAsia="黑体"/>
          <w:b w:val="0"/>
          <w:bCs/>
          <w:sz w:val="30"/>
          <w:szCs w:val="30"/>
        </w:rPr>
      </w:pPr>
      <w:r>
        <w:rPr>
          <w:rFonts w:hint="eastAsia" w:ascii="黑体" w:hAnsi="黑体" w:eastAsia="黑体"/>
          <w:b w:val="0"/>
          <w:bCs/>
          <w:sz w:val="30"/>
          <w:szCs w:val="30"/>
        </w:rPr>
        <w:t>主要人员简历表(工程类适用)</w:t>
      </w:r>
    </w:p>
    <w:p w14:paraId="78953461">
      <w:pPr>
        <w:spacing w:line="360" w:lineRule="atLeast"/>
        <w:jc w:val="center"/>
        <w:rPr>
          <w:rFonts w:hint="eastAsia" w:ascii="宋体"/>
          <w:sz w:val="28"/>
          <w:szCs w:val="28"/>
        </w:rPr>
      </w:pPr>
    </w:p>
    <w:tbl>
      <w:tblPr>
        <w:tblStyle w:val="22"/>
        <w:tblW w:w="8503"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1663"/>
      </w:tblGrid>
      <w:tr w14:paraId="47528C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91" w:hRule="exact"/>
        </w:trPr>
        <w:tc>
          <w:tcPr>
            <w:tcW w:w="2032" w:type="dxa"/>
            <w:gridSpan w:val="2"/>
            <w:noWrap w:val="0"/>
            <w:vAlign w:val="center"/>
          </w:tcPr>
          <w:p w14:paraId="6C26DA1A">
            <w:pPr>
              <w:spacing w:line="360" w:lineRule="atLeast"/>
              <w:jc w:val="center"/>
              <w:rPr>
                <w:rFonts w:hint="eastAsia" w:ascii="宋体"/>
              </w:rPr>
            </w:pPr>
            <w:r>
              <w:rPr>
                <w:rFonts w:hint="eastAsia" w:ascii="宋体"/>
              </w:rPr>
              <w:t>姓</w:t>
            </w:r>
            <w:r>
              <w:rPr>
                <w:rFonts w:ascii="宋体"/>
              </w:rPr>
              <w:t xml:space="preserve">   </w:t>
            </w:r>
            <w:r>
              <w:rPr>
                <w:rFonts w:hint="eastAsia" w:ascii="宋体"/>
              </w:rPr>
              <w:t>名</w:t>
            </w:r>
          </w:p>
        </w:tc>
        <w:tc>
          <w:tcPr>
            <w:tcW w:w="2468" w:type="dxa"/>
            <w:noWrap w:val="0"/>
            <w:vAlign w:val="center"/>
          </w:tcPr>
          <w:p w14:paraId="0B14E3F2">
            <w:pPr>
              <w:spacing w:line="360" w:lineRule="atLeast"/>
              <w:jc w:val="center"/>
              <w:rPr>
                <w:rFonts w:hint="eastAsia" w:ascii="宋体"/>
              </w:rPr>
            </w:pPr>
          </w:p>
        </w:tc>
        <w:tc>
          <w:tcPr>
            <w:tcW w:w="2340" w:type="dxa"/>
            <w:gridSpan w:val="3"/>
            <w:noWrap w:val="0"/>
            <w:vAlign w:val="center"/>
          </w:tcPr>
          <w:p w14:paraId="1C3F49F8">
            <w:pPr>
              <w:spacing w:line="360" w:lineRule="atLeast"/>
              <w:jc w:val="center"/>
              <w:rPr>
                <w:rFonts w:hint="eastAsia" w:ascii="宋体"/>
              </w:rPr>
            </w:pPr>
            <w:r>
              <w:rPr>
                <w:rFonts w:hint="eastAsia" w:ascii="宋体"/>
              </w:rPr>
              <w:t>性</w:t>
            </w:r>
            <w:r>
              <w:rPr>
                <w:rFonts w:ascii="宋体"/>
              </w:rPr>
              <w:t xml:space="preserve">  </w:t>
            </w:r>
            <w:r>
              <w:rPr>
                <w:rFonts w:hint="eastAsia" w:ascii="宋体"/>
              </w:rPr>
              <w:t>别</w:t>
            </w:r>
          </w:p>
        </w:tc>
        <w:tc>
          <w:tcPr>
            <w:tcW w:w="1663" w:type="dxa"/>
            <w:noWrap w:val="0"/>
            <w:vAlign w:val="center"/>
          </w:tcPr>
          <w:p w14:paraId="33D455A9">
            <w:pPr>
              <w:spacing w:line="360" w:lineRule="atLeast"/>
              <w:jc w:val="center"/>
              <w:rPr>
                <w:rFonts w:hint="eastAsia" w:ascii="宋体"/>
              </w:rPr>
            </w:pPr>
          </w:p>
        </w:tc>
      </w:tr>
      <w:tr w14:paraId="4332A8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13" w:hRule="exact"/>
        </w:trPr>
        <w:tc>
          <w:tcPr>
            <w:tcW w:w="2032" w:type="dxa"/>
            <w:gridSpan w:val="2"/>
            <w:noWrap w:val="0"/>
            <w:vAlign w:val="center"/>
          </w:tcPr>
          <w:p w14:paraId="28EDD2AC">
            <w:pPr>
              <w:spacing w:line="360" w:lineRule="atLeast"/>
              <w:jc w:val="center"/>
              <w:rPr>
                <w:rFonts w:hint="eastAsia" w:ascii="宋体"/>
              </w:rPr>
            </w:pPr>
            <w:r>
              <w:rPr>
                <w:rFonts w:hint="eastAsia" w:ascii="宋体"/>
              </w:rPr>
              <w:t>职</w:t>
            </w:r>
            <w:r>
              <w:rPr>
                <w:rFonts w:ascii="宋体"/>
              </w:rPr>
              <w:t xml:space="preserve">   </w:t>
            </w:r>
            <w:r>
              <w:rPr>
                <w:rFonts w:hint="eastAsia" w:ascii="宋体"/>
              </w:rPr>
              <w:t>务</w:t>
            </w:r>
          </w:p>
        </w:tc>
        <w:tc>
          <w:tcPr>
            <w:tcW w:w="2468" w:type="dxa"/>
            <w:noWrap w:val="0"/>
            <w:vAlign w:val="center"/>
          </w:tcPr>
          <w:p w14:paraId="6B740572">
            <w:pPr>
              <w:spacing w:line="360" w:lineRule="atLeast"/>
              <w:jc w:val="center"/>
              <w:rPr>
                <w:rFonts w:hint="eastAsia" w:ascii="宋体"/>
              </w:rPr>
            </w:pPr>
          </w:p>
        </w:tc>
        <w:tc>
          <w:tcPr>
            <w:tcW w:w="2340" w:type="dxa"/>
            <w:gridSpan w:val="3"/>
            <w:noWrap w:val="0"/>
            <w:vAlign w:val="center"/>
          </w:tcPr>
          <w:p w14:paraId="1C891FA3">
            <w:pPr>
              <w:spacing w:line="360" w:lineRule="atLeast"/>
              <w:jc w:val="center"/>
              <w:rPr>
                <w:rFonts w:hint="eastAsia" w:ascii="宋体"/>
              </w:rPr>
            </w:pPr>
            <w:r>
              <w:rPr>
                <w:rFonts w:hint="eastAsia" w:ascii="宋体"/>
              </w:rPr>
              <w:t>职</w:t>
            </w:r>
            <w:r>
              <w:rPr>
                <w:rFonts w:ascii="宋体"/>
              </w:rPr>
              <w:t xml:space="preserve">  </w:t>
            </w:r>
            <w:r>
              <w:rPr>
                <w:rFonts w:hint="eastAsia" w:ascii="宋体"/>
              </w:rPr>
              <w:t>称</w:t>
            </w:r>
          </w:p>
        </w:tc>
        <w:tc>
          <w:tcPr>
            <w:tcW w:w="1663" w:type="dxa"/>
            <w:noWrap w:val="0"/>
            <w:vAlign w:val="center"/>
          </w:tcPr>
          <w:p w14:paraId="327D3579">
            <w:pPr>
              <w:spacing w:line="360" w:lineRule="atLeast"/>
              <w:jc w:val="center"/>
              <w:rPr>
                <w:rFonts w:hint="eastAsia" w:ascii="宋体"/>
              </w:rPr>
            </w:pPr>
          </w:p>
        </w:tc>
      </w:tr>
      <w:tr w14:paraId="3BFFBA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1" w:hRule="exact"/>
        </w:trPr>
        <w:tc>
          <w:tcPr>
            <w:tcW w:w="2032" w:type="dxa"/>
            <w:gridSpan w:val="2"/>
            <w:noWrap w:val="0"/>
            <w:vAlign w:val="center"/>
          </w:tcPr>
          <w:p w14:paraId="77F10A47">
            <w:pPr>
              <w:spacing w:line="360" w:lineRule="atLeast"/>
              <w:jc w:val="center"/>
              <w:rPr>
                <w:rFonts w:hint="eastAsia" w:ascii="宋体"/>
              </w:rPr>
            </w:pPr>
            <w:r>
              <w:rPr>
                <w:rFonts w:hint="eastAsia" w:ascii="宋体"/>
              </w:rPr>
              <w:t>毕业学校、专业</w:t>
            </w:r>
          </w:p>
        </w:tc>
        <w:tc>
          <w:tcPr>
            <w:tcW w:w="6471" w:type="dxa"/>
            <w:gridSpan w:val="5"/>
            <w:noWrap w:val="0"/>
            <w:vAlign w:val="center"/>
          </w:tcPr>
          <w:p w14:paraId="5B861972">
            <w:pPr>
              <w:spacing w:line="360" w:lineRule="atLeast"/>
              <w:jc w:val="center"/>
              <w:rPr>
                <w:rFonts w:hint="eastAsia" w:ascii="宋体"/>
              </w:rPr>
            </w:pPr>
          </w:p>
        </w:tc>
      </w:tr>
      <w:tr w14:paraId="400F2A9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71" w:hRule="exact"/>
        </w:trPr>
        <w:tc>
          <w:tcPr>
            <w:tcW w:w="2032" w:type="dxa"/>
            <w:gridSpan w:val="2"/>
            <w:noWrap w:val="0"/>
            <w:vAlign w:val="center"/>
          </w:tcPr>
          <w:p w14:paraId="5EC71028">
            <w:pPr>
              <w:spacing w:line="360" w:lineRule="atLeast"/>
              <w:jc w:val="center"/>
              <w:rPr>
                <w:rFonts w:hint="eastAsia" w:ascii="宋体"/>
              </w:rPr>
            </w:pPr>
            <w:r>
              <w:rPr>
                <w:rFonts w:hint="eastAsia" w:ascii="宋体"/>
              </w:rPr>
              <w:t>身份证号</w:t>
            </w:r>
          </w:p>
        </w:tc>
        <w:tc>
          <w:tcPr>
            <w:tcW w:w="2468" w:type="dxa"/>
            <w:noWrap w:val="0"/>
            <w:vAlign w:val="center"/>
          </w:tcPr>
          <w:p w14:paraId="1937F942">
            <w:pPr>
              <w:spacing w:line="360" w:lineRule="atLeast"/>
              <w:jc w:val="center"/>
              <w:rPr>
                <w:rFonts w:hint="eastAsia" w:ascii="宋体"/>
              </w:rPr>
            </w:pPr>
          </w:p>
        </w:tc>
        <w:tc>
          <w:tcPr>
            <w:tcW w:w="2340" w:type="dxa"/>
            <w:gridSpan w:val="3"/>
            <w:noWrap w:val="0"/>
            <w:vAlign w:val="center"/>
          </w:tcPr>
          <w:p w14:paraId="205D1FB4">
            <w:pPr>
              <w:spacing w:line="360" w:lineRule="atLeast"/>
              <w:jc w:val="center"/>
              <w:rPr>
                <w:rFonts w:hint="eastAsia" w:ascii="宋体"/>
              </w:rPr>
            </w:pPr>
            <w:r>
              <w:rPr>
                <w:rFonts w:hint="eastAsia" w:ascii="宋体"/>
              </w:rPr>
              <w:t>拟在本合同任职</w:t>
            </w:r>
          </w:p>
        </w:tc>
        <w:tc>
          <w:tcPr>
            <w:tcW w:w="1663" w:type="dxa"/>
            <w:noWrap w:val="0"/>
            <w:vAlign w:val="center"/>
          </w:tcPr>
          <w:p w14:paraId="1B6E5212">
            <w:pPr>
              <w:spacing w:line="360" w:lineRule="atLeast"/>
              <w:ind w:right="-105" w:rightChars="-50"/>
              <w:jc w:val="center"/>
              <w:rPr>
                <w:rFonts w:hint="eastAsia" w:ascii="宋体"/>
              </w:rPr>
            </w:pPr>
          </w:p>
        </w:tc>
      </w:tr>
      <w:tr w14:paraId="61C4F7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71" w:hRule="exact"/>
        </w:trPr>
        <w:tc>
          <w:tcPr>
            <w:tcW w:w="2032" w:type="dxa"/>
            <w:gridSpan w:val="2"/>
            <w:noWrap w:val="0"/>
            <w:vAlign w:val="center"/>
          </w:tcPr>
          <w:p w14:paraId="1861A2D0">
            <w:pPr>
              <w:spacing w:line="360" w:lineRule="atLeast"/>
              <w:jc w:val="center"/>
              <w:rPr>
                <w:rFonts w:hint="eastAsia" w:ascii="宋体"/>
              </w:rPr>
            </w:pPr>
            <w:r>
              <w:rPr>
                <w:rFonts w:hint="eastAsia" w:ascii="宋体"/>
              </w:rPr>
              <w:t>执业资格证</w:t>
            </w:r>
          </w:p>
        </w:tc>
        <w:tc>
          <w:tcPr>
            <w:tcW w:w="2468" w:type="dxa"/>
            <w:noWrap w:val="0"/>
            <w:vAlign w:val="center"/>
          </w:tcPr>
          <w:p w14:paraId="53F33427">
            <w:pPr>
              <w:spacing w:line="360" w:lineRule="atLeast"/>
              <w:jc w:val="center"/>
              <w:rPr>
                <w:rFonts w:hint="eastAsia" w:ascii="宋体"/>
              </w:rPr>
            </w:pPr>
          </w:p>
        </w:tc>
        <w:tc>
          <w:tcPr>
            <w:tcW w:w="2340" w:type="dxa"/>
            <w:gridSpan w:val="3"/>
            <w:noWrap w:val="0"/>
            <w:vAlign w:val="center"/>
          </w:tcPr>
          <w:p w14:paraId="20C3EC78">
            <w:pPr>
              <w:spacing w:line="360" w:lineRule="atLeast"/>
              <w:jc w:val="center"/>
              <w:rPr>
                <w:rFonts w:hint="eastAsia" w:ascii="宋体"/>
              </w:rPr>
            </w:pPr>
            <w:r>
              <w:rPr>
                <w:rFonts w:hint="eastAsia" w:ascii="宋体"/>
              </w:rPr>
              <w:t>执业资格证书号</w:t>
            </w:r>
          </w:p>
        </w:tc>
        <w:tc>
          <w:tcPr>
            <w:tcW w:w="1663" w:type="dxa"/>
            <w:noWrap w:val="0"/>
            <w:vAlign w:val="center"/>
          </w:tcPr>
          <w:p w14:paraId="6BD02C81">
            <w:pPr>
              <w:rPr>
                <w:rFonts w:hint="eastAsia" w:ascii="宋体"/>
              </w:rPr>
            </w:pPr>
          </w:p>
        </w:tc>
      </w:tr>
      <w:tr w14:paraId="28C987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00" w:hRule="exact"/>
        </w:trPr>
        <w:tc>
          <w:tcPr>
            <w:tcW w:w="8503" w:type="dxa"/>
            <w:gridSpan w:val="7"/>
            <w:noWrap w:val="0"/>
            <w:vAlign w:val="center"/>
          </w:tcPr>
          <w:p w14:paraId="593C9AED">
            <w:pPr>
              <w:spacing w:line="360" w:lineRule="atLeast"/>
              <w:rPr>
                <w:rFonts w:hint="eastAsia" w:ascii="宋体"/>
              </w:rPr>
            </w:pPr>
            <w:r>
              <w:rPr>
                <w:rFonts w:hint="eastAsia" w:ascii="宋体"/>
              </w:rPr>
              <w:t>近三年承担项目情况</w:t>
            </w:r>
          </w:p>
        </w:tc>
      </w:tr>
      <w:tr w14:paraId="4E6A8A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4F6927DA">
            <w:pPr>
              <w:spacing w:line="360" w:lineRule="atLeast"/>
              <w:jc w:val="center"/>
              <w:rPr>
                <w:rFonts w:hint="eastAsia" w:ascii="宋体"/>
              </w:rPr>
            </w:pPr>
            <w:r>
              <w:rPr>
                <w:rFonts w:hint="eastAsia" w:ascii="宋体"/>
              </w:rPr>
              <w:t>时间</w:t>
            </w:r>
          </w:p>
        </w:tc>
        <w:tc>
          <w:tcPr>
            <w:tcW w:w="3636" w:type="dxa"/>
            <w:gridSpan w:val="3"/>
            <w:noWrap w:val="0"/>
            <w:vAlign w:val="center"/>
          </w:tcPr>
          <w:p w14:paraId="56B698DB">
            <w:pPr>
              <w:spacing w:line="360" w:lineRule="atLeast"/>
              <w:jc w:val="center"/>
              <w:rPr>
                <w:rFonts w:hint="eastAsia" w:ascii="宋体"/>
              </w:rPr>
            </w:pPr>
            <w:r>
              <w:rPr>
                <w:rFonts w:hint="eastAsia" w:ascii="宋体"/>
              </w:rPr>
              <w:t>类似项目名称</w:t>
            </w:r>
          </w:p>
        </w:tc>
        <w:tc>
          <w:tcPr>
            <w:tcW w:w="1404" w:type="dxa"/>
            <w:noWrap w:val="0"/>
            <w:vAlign w:val="center"/>
          </w:tcPr>
          <w:p w14:paraId="170BC5F1">
            <w:pPr>
              <w:spacing w:line="360" w:lineRule="atLeast"/>
              <w:jc w:val="center"/>
              <w:rPr>
                <w:rFonts w:hint="eastAsia" w:ascii="宋体"/>
              </w:rPr>
            </w:pPr>
            <w:r>
              <w:rPr>
                <w:rFonts w:hint="eastAsia" w:ascii="宋体"/>
              </w:rPr>
              <w:t>担任职务</w:t>
            </w:r>
          </w:p>
        </w:tc>
        <w:tc>
          <w:tcPr>
            <w:tcW w:w="2203" w:type="dxa"/>
            <w:gridSpan w:val="2"/>
            <w:noWrap w:val="0"/>
            <w:vAlign w:val="center"/>
          </w:tcPr>
          <w:p w14:paraId="0BBA87F9">
            <w:pPr>
              <w:spacing w:line="360" w:lineRule="atLeast"/>
              <w:jc w:val="center"/>
              <w:rPr>
                <w:rFonts w:hint="eastAsia" w:ascii="宋体"/>
              </w:rPr>
            </w:pPr>
            <w:r>
              <w:rPr>
                <w:rFonts w:hint="eastAsia" w:ascii="宋体"/>
              </w:rPr>
              <w:t>项目单位名称及电话</w:t>
            </w:r>
          </w:p>
        </w:tc>
      </w:tr>
      <w:tr w14:paraId="741899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64C27EAA">
            <w:pPr>
              <w:spacing w:line="360" w:lineRule="atLeast"/>
              <w:jc w:val="center"/>
              <w:rPr>
                <w:rFonts w:hint="eastAsia" w:ascii="宋体"/>
              </w:rPr>
            </w:pPr>
          </w:p>
        </w:tc>
        <w:tc>
          <w:tcPr>
            <w:tcW w:w="3636" w:type="dxa"/>
            <w:gridSpan w:val="3"/>
            <w:noWrap w:val="0"/>
            <w:vAlign w:val="center"/>
          </w:tcPr>
          <w:p w14:paraId="67ECCD35">
            <w:pPr>
              <w:spacing w:line="360" w:lineRule="atLeast"/>
              <w:jc w:val="center"/>
              <w:rPr>
                <w:rFonts w:hint="eastAsia" w:ascii="宋体"/>
              </w:rPr>
            </w:pPr>
          </w:p>
        </w:tc>
        <w:tc>
          <w:tcPr>
            <w:tcW w:w="1404" w:type="dxa"/>
            <w:noWrap w:val="0"/>
            <w:vAlign w:val="center"/>
          </w:tcPr>
          <w:p w14:paraId="091C2CAD">
            <w:pPr>
              <w:spacing w:line="360" w:lineRule="atLeast"/>
              <w:jc w:val="center"/>
              <w:rPr>
                <w:rFonts w:hint="eastAsia" w:ascii="宋体"/>
              </w:rPr>
            </w:pPr>
          </w:p>
        </w:tc>
        <w:tc>
          <w:tcPr>
            <w:tcW w:w="2203" w:type="dxa"/>
            <w:gridSpan w:val="2"/>
            <w:noWrap w:val="0"/>
            <w:vAlign w:val="center"/>
          </w:tcPr>
          <w:p w14:paraId="2232D832">
            <w:pPr>
              <w:spacing w:line="360" w:lineRule="atLeast"/>
              <w:jc w:val="center"/>
              <w:rPr>
                <w:rFonts w:hint="eastAsia" w:ascii="宋体"/>
              </w:rPr>
            </w:pPr>
          </w:p>
        </w:tc>
      </w:tr>
      <w:tr w14:paraId="66402D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50C1C8AD">
            <w:pPr>
              <w:spacing w:line="360" w:lineRule="atLeast"/>
              <w:jc w:val="center"/>
              <w:rPr>
                <w:rFonts w:hint="eastAsia" w:ascii="宋体"/>
              </w:rPr>
            </w:pPr>
          </w:p>
        </w:tc>
        <w:tc>
          <w:tcPr>
            <w:tcW w:w="3636" w:type="dxa"/>
            <w:gridSpan w:val="3"/>
            <w:noWrap w:val="0"/>
            <w:vAlign w:val="center"/>
          </w:tcPr>
          <w:p w14:paraId="2DAE8B50">
            <w:pPr>
              <w:spacing w:line="360" w:lineRule="atLeast"/>
              <w:jc w:val="center"/>
              <w:rPr>
                <w:rFonts w:hint="eastAsia" w:ascii="宋体"/>
              </w:rPr>
            </w:pPr>
          </w:p>
        </w:tc>
        <w:tc>
          <w:tcPr>
            <w:tcW w:w="1404" w:type="dxa"/>
            <w:noWrap w:val="0"/>
            <w:vAlign w:val="center"/>
          </w:tcPr>
          <w:p w14:paraId="44189CA4">
            <w:pPr>
              <w:spacing w:line="360" w:lineRule="atLeast"/>
              <w:jc w:val="center"/>
              <w:rPr>
                <w:rFonts w:hint="eastAsia" w:ascii="宋体"/>
              </w:rPr>
            </w:pPr>
          </w:p>
        </w:tc>
        <w:tc>
          <w:tcPr>
            <w:tcW w:w="2203" w:type="dxa"/>
            <w:gridSpan w:val="2"/>
            <w:noWrap w:val="0"/>
            <w:vAlign w:val="center"/>
          </w:tcPr>
          <w:p w14:paraId="019CBA64">
            <w:pPr>
              <w:spacing w:line="360" w:lineRule="atLeast"/>
              <w:jc w:val="center"/>
              <w:rPr>
                <w:rFonts w:hint="eastAsia" w:ascii="宋体"/>
              </w:rPr>
            </w:pPr>
          </w:p>
        </w:tc>
      </w:tr>
      <w:tr w14:paraId="53053B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3D601596">
            <w:pPr>
              <w:spacing w:line="360" w:lineRule="atLeast"/>
              <w:jc w:val="center"/>
              <w:rPr>
                <w:rFonts w:hint="eastAsia" w:ascii="宋体"/>
              </w:rPr>
            </w:pPr>
          </w:p>
        </w:tc>
        <w:tc>
          <w:tcPr>
            <w:tcW w:w="3636" w:type="dxa"/>
            <w:gridSpan w:val="3"/>
            <w:noWrap w:val="0"/>
            <w:vAlign w:val="center"/>
          </w:tcPr>
          <w:p w14:paraId="6147ABBC">
            <w:pPr>
              <w:spacing w:line="360" w:lineRule="atLeast"/>
              <w:jc w:val="center"/>
              <w:rPr>
                <w:rFonts w:hint="eastAsia" w:ascii="宋体"/>
              </w:rPr>
            </w:pPr>
          </w:p>
        </w:tc>
        <w:tc>
          <w:tcPr>
            <w:tcW w:w="1404" w:type="dxa"/>
            <w:noWrap w:val="0"/>
            <w:vAlign w:val="center"/>
          </w:tcPr>
          <w:p w14:paraId="3A8192DA">
            <w:pPr>
              <w:spacing w:line="360" w:lineRule="atLeast"/>
              <w:jc w:val="center"/>
              <w:rPr>
                <w:rFonts w:hint="eastAsia" w:ascii="宋体"/>
              </w:rPr>
            </w:pPr>
          </w:p>
        </w:tc>
        <w:tc>
          <w:tcPr>
            <w:tcW w:w="2203" w:type="dxa"/>
            <w:gridSpan w:val="2"/>
            <w:noWrap w:val="0"/>
            <w:vAlign w:val="center"/>
          </w:tcPr>
          <w:p w14:paraId="55CE1DAD">
            <w:pPr>
              <w:spacing w:line="360" w:lineRule="atLeast"/>
              <w:jc w:val="center"/>
              <w:rPr>
                <w:rFonts w:hint="eastAsia" w:ascii="宋体"/>
              </w:rPr>
            </w:pPr>
          </w:p>
        </w:tc>
      </w:tr>
      <w:tr w14:paraId="0A0525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320BA55C">
            <w:pPr>
              <w:spacing w:line="360" w:lineRule="atLeast"/>
              <w:jc w:val="center"/>
              <w:rPr>
                <w:rFonts w:hint="eastAsia" w:ascii="宋体"/>
              </w:rPr>
            </w:pPr>
          </w:p>
        </w:tc>
        <w:tc>
          <w:tcPr>
            <w:tcW w:w="3636" w:type="dxa"/>
            <w:gridSpan w:val="3"/>
            <w:noWrap w:val="0"/>
            <w:vAlign w:val="center"/>
          </w:tcPr>
          <w:p w14:paraId="78FEEDBB">
            <w:pPr>
              <w:spacing w:line="360" w:lineRule="atLeast"/>
              <w:jc w:val="center"/>
              <w:rPr>
                <w:rFonts w:hint="eastAsia" w:ascii="宋体"/>
              </w:rPr>
            </w:pPr>
          </w:p>
        </w:tc>
        <w:tc>
          <w:tcPr>
            <w:tcW w:w="1404" w:type="dxa"/>
            <w:noWrap w:val="0"/>
            <w:vAlign w:val="center"/>
          </w:tcPr>
          <w:p w14:paraId="66AB0FE5">
            <w:pPr>
              <w:spacing w:line="360" w:lineRule="atLeast"/>
              <w:jc w:val="center"/>
              <w:rPr>
                <w:rFonts w:hint="eastAsia" w:ascii="宋体"/>
              </w:rPr>
            </w:pPr>
          </w:p>
        </w:tc>
        <w:tc>
          <w:tcPr>
            <w:tcW w:w="2203" w:type="dxa"/>
            <w:gridSpan w:val="2"/>
            <w:noWrap w:val="0"/>
            <w:vAlign w:val="center"/>
          </w:tcPr>
          <w:p w14:paraId="68379185">
            <w:pPr>
              <w:spacing w:line="360" w:lineRule="atLeast"/>
              <w:jc w:val="center"/>
              <w:rPr>
                <w:rFonts w:hint="eastAsia" w:ascii="宋体"/>
              </w:rPr>
            </w:pPr>
          </w:p>
        </w:tc>
      </w:tr>
      <w:tr w14:paraId="3DBACD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55FF0803">
            <w:pPr>
              <w:spacing w:line="360" w:lineRule="atLeast"/>
              <w:jc w:val="center"/>
              <w:rPr>
                <w:rFonts w:hint="eastAsia" w:ascii="宋体"/>
              </w:rPr>
            </w:pPr>
          </w:p>
        </w:tc>
        <w:tc>
          <w:tcPr>
            <w:tcW w:w="3636" w:type="dxa"/>
            <w:gridSpan w:val="3"/>
            <w:noWrap w:val="0"/>
            <w:vAlign w:val="center"/>
          </w:tcPr>
          <w:p w14:paraId="20AAD4F2">
            <w:pPr>
              <w:spacing w:line="360" w:lineRule="atLeast"/>
              <w:jc w:val="center"/>
              <w:rPr>
                <w:rFonts w:hint="eastAsia" w:ascii="宋体"/>
              </w:rPr>
            </w:pPr>
          </w:p>
        </w:tc>
        <w:tc>
          <w:tcPr>
            <w:tcW w:w="1404" w:type="dxa"/>
            <w:noWrap w:val="0"/>
            <w:vAlign w:val="center"/>
          </w:tcPr>
          <w:p w14:paraId="2135C19D">
            <w:pPr>
              <w:spacing w:line="360" w:lineRule="atLeast"/>
              <w:jc w:val="center"/>
              <w:rPr>
                <w:rFonts w:hint="eastAsia" w:ascii="宋体"/>
              </w:rPr>
            </w:pPr>
          </w:p>
        </w:tc>
        <w:tc>
          <w:tcPr>
            <w:tcW w:w="2203" w:type="dxa"/>
            <w:gridSpan w:val="2"/>
            <w:noWrap w:val="0"/>
            <w:vAlign w:val="center"/>
          </w:tcPr>
          <w:p w14:paraId="5BDBB6AC">
            <w:pPr>
              <w:spacing w:line="360" w:lineRule="atLeast"/>
              <w:jc w:val="center"/>
              <w:rPr>
                <w:rFonts w:hint="eastAsia" w:ascii="宋体"/>
              </w:rPr>
            </w:pPr>
          </w:p>
        </w:tc>
      </w:tr>
      <w:tr w14:paraId="0BC425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3E63077F">
            <w:pPr>
              <w:spacing w:line="360" w:lineRule="atLeast"/>
              <w:jc w:val="center"/>
              <w:rPr>
                <w:rFonts w:hint="eastAsia" w:ascii="宋体"/>
              </w:rPr>
            </w:pPr>
          </w:p>
        </w:tc>
        <w:tc>
          <w:tcPr>
            <w:tcW w:w="3636" w:type="dxa"/>
            <w:gridSpan w:val="3"/>
            <w:noWrap w:val="0"/>
            <w:vAlign w:val="center"/>
          </w:tcPr>
          <w:p w14:paraId="607B5644">
            <w:pPr>
              <w:spacing w:line="360" w:lineRule="atLeast"/>
              <w:jc w:val="center"/>
              <w:rPr>
                <w:rFonts w:hint="eastAsia" w:ascii="宋体"/>
              </w:rPr>
            </w:pPr>
          </w:p>
        </w:tc>
        <w:tc>
          <w:tcPr>
            <w:tcW w:w="1404" w:type="dxa"/>
            <w:noWrap w:val="0"/>
            <w:vAlign w:val="center"/>
          </w:tcPr>
          <w:p w14:paraId="7FEB64E5">
            <w:pPr>
              <w:spacing w:line="360" w:lineRule="atLeast"/>
              <w:jc w:val="center"/>
              <w:rPr>
                <w:rFonts w:hint="eastAsia" w:ascii="宋体"/>
              </w:rPr>
            </w:pPr>
          </w:p>
        </w:tc>
        <w:tc>
          <w:tcPr>
            <w:tcW w:w="2203" w:type="dxa"/>
            <w:gridSpan w:val="2"/>
            <w:noWrap w:val="0"/>
            <w:vAlign w:val="center"/>
          </w:tcPr>
          <w:p w14:paraId="73E2683F">
            <w:pPr>
              <w:spacing w:line="360" w:lineRule="atLeast"/>
              <w:jc w:val="center"/>
              <w:rPr>
                <w:rFonts w:hint="eastAsia" w:ascii="宋体"/>
              </w:rPr>
            </w:pPr>
          </w:p>
        </w:tc>
      </w:tr>
      <w:tr w14:paraId="53CB10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53D47027">
            <w:pPr>
              <w:spacing w:line="360" w:lineRule="atLeast"/>
              <w:jc w:val="center"/>
              <w:rPr>
                <w:rFonts w:hint="eastAsia" w:ascii="宋体"/>
              </w:rPr>
            </w:pPr>
          </w:p>
        </w:tc>
        <w:tc>
          <w:tcPr>
            <w:tcW w:w="3636" w:type="dxa"/>
            <w:gridSpan w:val="3"/>
            <w:noWrap w:val="0"/>
            <w:vAlign w:val="center"/>
          </w:tcPr>
          <w:p w14:paraId="652CAF1E">
            <w:pPr>
              <w:spacing w:line="360" w:lineRule="atLeast"/>
              <w:jc w:val="center"/>
              <w:rPr>
                <w:rFonts w:hint="eastAsia" w:ascii="宋体"/>
              </w:rPr>
            </w:pPr>
          </w:p>
        </w:tc>
        <w:tc>
          <w:tcPr>
            <w:tcW w:w="1404" w:type="dxa"/>
            <w:noWrap w:val="0"/>
            <w:vAlign w:val="center"/>
          </w:tcPr>
          <w:p w14:paraId="56BEB9C6">
            <w:pPr>
              <w:spacing w:line="360" w:lineRule="atLeast"/>
              <w:jc w:val="center"/>
              <w:rPr>
                <w:rFonts w:hint="eastAsia" w:ascii="宋体"/>
              </w:rPr>
            </w:pPr>
          </w:p>
        </w:tc>
        <w:tc>
          <w:tcPr>
            <w:tcW w:w="2203" w:type="dxa"/>
            <w:gridSpan w:val="2"/>
            <w:noWrap w:val="0"/>
            <w:vAlign w:val="center"/>
          </w:tcPr>
          <w:p w14:paraId="241A7972">
            <w:pPr>
              <w:spacing w:line="360" w:lineRule="atLeast"/>
              <w:jc w:val="center"/>
              <w:rPr>
                <w:rFonts w:hint="eastAsia" w:ascii="宋体"/>
              </w:rPr>
            </w:pPr>
          </w:p>
        </w:tc>
      </w:tr>
      <w:tr w14:paraId="037C8C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6E69589F">
            <w:pPr>
              <w:spacing w:line="360" w:lineRule="atLeast"/>
              <w:jc w:val="center"/>
              <w:rPr>
                <w:rFonts w:hint="eastAsia" w:ascii="宋体"/>
              </w:rPr>
            </w:pPr>
          </w:p>
        </w:tc>
        <w:tc>
          <w:tcPr>
            <w:tcW w:w="3636" w:type="dxa"/>
            <w:gridSpan w:val="3"/>
            <w:noWrap w:val="0"/>
            <w:vAlign w:val="center"/>
          </w:tcPr>
          <w:p w14:paraId="71F52B75">
            <w:pPr>
              <w:spacing w:line="360" w:lineRule="atLeast"/>
              <w:jc w:val="center"/>
              <w:rPr>
                <w:rFonts w:hint="eastAsia" w:ascii="宋体"/>
              </w:rPr>
            </w:pPr>
          </w:p>
        </w:tc>
        <w:tc>
          <w:tcPr>
            <w:tcW w:w="1404" w:type="dxa"/>
            <w:noWrap w:val="0"/>
            <w:vAlign w:val="center"/>
          </w:tcPr>
          <w:p w14:paraId="35E724B0">
            <w:pPr>
              <w:spacing w:line="360" w:lineRule="atLeast"/>
              <w:jc w:val="center"/>
              <w:rPr>
                <w:rFonts w:hint="eastAsia" w:ascii="宋体"/>
              </w:rPr>
            </w:pPr>
          </w:p>
        </w:tc>
        <w:tc>
          <w:tcPr>
            <w:tcW w:w="2203" w:type="dxa"/>
            <w:gridSpan w:val="2"/>
            <w:noWrap w:val="0"/>
            <w:vAlign w:val="center"/>
          </w:tcPr>
          <w:p w14:paraId="547FE90A">
            <w:pPr>
              <w:spacing w:line="360" w:lineRule="atLeast"/>
              <w:jc w:val="center"/>
              <w:rPr>
                <w:rFonts w:hint="eastAsia" w:ascii="宋体"/>
              </w:rPr>
            </w:pPr>
          </w:p>
        </w:tc>
      </w:tr>
      <w:tr w14:paraId="15BC08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0" w:hRule="exact"/>
        </w:trPr>
        <w:tc>
          <w:tcPr>
            <w:tcW w:w="1260" w:type="dxa"/>
            <w:noWrap w:val="0"/>
            <w:vAlign w:val="center"/>
          </w:tcPr>
          <w:p w14:paraId="07B4ED42">
            <w:pPr>
              <w:spacing w:line="360" w:lineRule="atLeast"/>
              <w:jc w:val="center"/>
              <w:rPr>
                <w:rFonts w:hint="eastAsia" w:ascii="宋体"/>
              </w:rPr>
            </w:pPr>
          </w:p>
        </w:tc>
        <w:tc>
          <w:tcPr>
            <w:tcW w:w="3636" w:type="dxa"/>
            <w:gridSpan w:val="3"/>
            <w:noWrap w:val="0"/>
            <w:vAlign w:val="center"/>
          </w:tcPr>
          <w:p w14:paraId="44C506DB">
            <w:pPr>
              <w:spacing w:line="360" w:lineRule="atLeast"/>
              <w:jc w:val="center"/>
              <w:rPr>
                <w:rFonts w:hint="eastAsia" w:ascii="宋体"/>
              </w:rPr>
            </w:pPr>
          </w:p>
        </w:tc>
        <w:tc>
          <w:tcPr>
            <w:tcW w:w="1404" w:type="dxa"/>
            <w:noWrap w:val="0"/>
            <w:vAlign w:val="center"/>
          </w:tcPr>
          <w:p w14:paraId="4AF515E8">
            <w:pPr>
              <w:spacing w:line="360" w:lineRule="atLeast"/>
              <w:jc w:val="center"/>
              <w:rPr>
                <w:rFonts w:hint="eastAsia" w:ascii="宋体"/>
              </w:rPr>
            </w:pPr>
          </w:p>
        </w:tc>
        <w:tc>
          <w:tcPr>
            <w:tcW w:w="2203" w:type="dxa"/>
            <w:gridSpan w:val="2"/>
            <w:noWrap w:val="0"/>
            <w:vAlign w:val="center"/>
          </w:tcPr>
          <w:p w14:paraId="13DB6923">
            <w:pPr>
              <w:spacing w:line="360" w:lineRule="atLeast"/>
              <w:jc w:val="center"/>
              <w:rPr>
                <w:rFonts w:hint="eastAsia" w:ascii="宋体"/>
              </w:rPr>
            </w:pPr>
          </w:p>
        </w:tc>
      </w:tr>
    </w:tbl>
    <w:p w14:paraId="6A0270D1">
      <w:pPr>
        <w:spacing w:line="360" w:lineRule="atLeast"/>
        <w:rPr>
          <w:rFonts w:hint="eastAsia" w:ascii="仿宋_GB2312" w:eastAsia="仿宋_GB2312"/>
        </w:rPr>
      </w:pPr>
      <w:r>
        <w:rPr>
          <w:rFonts w:hint="eastAsia" w:ascii="仿宋_GB2312" w:hAnsi="宋体" w:eastAsia="仿宋_GB2312"/>
          <w:szCs w:val="21"/>
        </w:rPr>
        <w:t>说明</w:t>
      </w:r>
      <w:r>
        <w:rPr>
          <w:rFonts w:hint="eastAsia" w:ascii="仿宋_GB2312" w:eastAsia="仿宋_GB2312"/>
        </w:rPr>
        <w:t>：</w:t>
      </w:r>
      <w:r>
        <w:rPr>
          <w:rFonts w:hint="eastAsia" w:ascii="仿宋_GB2312" w:hAnsi="宋体" w:eastAsia="仿宋_GB2312"/>
          <w:szCs w:val="21"/>
        </w:rPr>
        <w:t>主要人员证书、</w:t>
      </w:r>
      <w:r>
        <w:rPr>
          <w:rFonts w:hint="eastAsia" w:ascii="仿宋_GB2312" w:eastAsia="仿宋_GB2312"/>
        </w:rPr>
        <w:t>类似项目证明资料等按第二章第</w:t>
      </w:r>
      <w:r>
        <w:rPr>
          <w:rFonts w:hint="eastAsia" w:ascii="仿宋_GB2312" w:hAnsi="宋体" w:eastAsia="仿宋_GB2312"/>
        </w:rPr>
        <w:t>42.1款</w:t>
      </w:r>
      <w:r>
        <w:rPr>
          <w:rFonts w:hint="eastAsia" w:ascii="仿宋_GB2312" w:eastAsia="仿宋_GB2312"/>
        </w:rPr>
        <w:t>或第四章要求提供。</w:t>
      </w:r>
    </w:p>
    <w:p w14:paraId="52B50F9F">
      <w:pPr>
        <w:adjustRightInd w:val="0"/>
        <w:snapToGrid w:val="0"/>
        <w:spacing w:line="360" w:lineRule="auto"/>
        <w:rPr>
          <w:rFonts w:hint="eastAsia" w:ascii="宋体" w:hAnsi="宋体"/>
          <w:szCs w:val="21"/>
        </w:rPr>
      </w:pPr>
    </w:p>
    <w:p w14:paraId="09B89469">
      <w:pPr>
        <w:bidi w:val="0"/>
        <w:rPr>
          <w:rFonts w:hint="eastAsia"/>
        </w:rPr>
      </w:pPr>
    </w:p>
    <w:p w14:paraId="69058243">
      <w:pPr>
        <w:bidi w:val="0"/>
        <w:rPr>
          <w:rFonts w:hint="eastAsia"/>
          <w:u w:val="single"/>
        </w:rPr>
      </w:pPr>
      <w:bookmarkStart w:id="363" w:name="_Toc28770"/>
      <w:bookmarkStart w:id="364" w:name="_Toc3068"/>
      <w:bookmarkStart w:id="365" w:name="_Toc11087"/>
      <w:r>
        <w:rPr>
          <w:rFonts w:hint="eastAsia"/>
        </w:rPr>
        <w:t>供应商名称：</w:t>
      </w:r>
      <w:bookmarkEnd w:id="363"/>
      <w:bookmarkEnd w:id="364"/>
      <w:bookmarkEnd w:id="365"/>
      <w:r>
        <w:rPr>
          <w:rFonts w:hint="eastAsia"/>
          <w:u w:val="single"/>
        </w:rPr>
        <w:t xml:space="preserve">                </w:t>
      </w:r>
    </w:p>
    <w:p w14:paraId="417DD93A">
      <w:pPr>
        <w:bidi w:val="0"/>
        <w:rPr>
          <w:rFonts w:hint="eastAsia"/>
          <w:u w:val="single"/>
        </w:rPr>
      </w:pPr>
      <w:bookmarkStart w:id="366" w:name="_Toc9953"/>
      <w:bookmarkStart w:id="367" w:name="_Toc4794"/>
      <w:bookmarkStart w:id="368" w:name="_Toc21268"/>
      <w:r>
        <w:rPr>
          <w:rFonts w:hint="eastAsia"/>
        </w:rPr>
        <w:t>法定代表人或其委托代理人(签字)：</w:t>
      </w:r>
      <w:r>
        <w:rPr>
          <w:rFonts w:hint="eastAsia"/>
          <w:u w:val="single"/>
        </w:rPr>
        <w:t xml:space="preserve">              _</w:t>
      </w:r>
      <w:bookmarkEnd w:id="366"/>
      <w:bookmarkEnd w:id="367"/>
      <w:bookmarkEnd w:id="368"/>
    </w:p>
    <w:p w14:paraId="023D4C66">
      <w:pPr>
        <w:bidi w:val="0"/>
        <w:rPr>
          <w:rFonts w:hint="eastAsia"/>
        </w:rPr>
      </w:pPr>
      <w:r>
        <w:rPr>
          <w:rFonts w:hint="eastAsia"/>
        </w:rPr>
        <w:t xml:space="preserve">日期： </w:t>
      </w:r>
      <w:r>
        <w:rPr>
          <w:rFonts w:hint="eastAsia"/>
          <w:u w:val="single"/>
        </w:rPr>
        <w:t xml:space="preserve">      </w:t>
      </w:r>
      <w:r>
        <w:rPr>
          <w:rFonts w:hint="eastAsia"/>
        </w:rPr>
        <w:t xml:space="preserve">年 </w:t>
      </w:r>
      <w:r>
        <w:rPr>
          <w:rFonts w:hint="eastAsia"/>
          <w:u w:val="single"/>
        </w:rPr>
        <w:t xml:space="preserve">    </w:t>
      </w:r>
      <w:r>
        <w:rPr>
          <w:rFonts w:hint="eastAsia"/>
        </w:rPr>
        <w:t xml:space="preserve"> 月  </w:t>
      </w:r>
      <w:r>
        <w:rPr>
          <w:rFonts w:hint="eastAsia"/>
          <w:u w:val="single"/>
        </w:rPr>
        <w:t xml:space="preserve">  </w:t>
      </w:r>
      <w:r>
        <w:rPr>
          <w:rFonts w:hint="eastAsia"/>
        </w:rPr>
        <w:t xml:space="preserve"> 日</w:t>
      </w:r>
    </w:p>
    <w:p w14:paraId="395FCA13">
      <w:pPr>
        <w:adjustRightInd w:val="0"/>
        <w:snapToGrid w:val="0"/>
        <w:spacing w:line="360" w:lineRule="auto"/>
        <w:rPr>
          <w:rFonts w:hint="eastAsia" w:ascii="仿宋_GB2312" w:hAnsi="宋体" w:eastAsia="仿宋_GB2312"/>
          <w:bCs/>
          <w:szCs w:val="21"/>
        </w:rPr>
      </w:pPr>
    </w:p>
    <w:p w14:paraId="3E663C5C">
      <w:pPr>
        <w:adjustRightInd w:val="0"/>
        <w:snapToGrid w:val="0"/>
        <w:spacing w:line="360" w:lineRule="auto"/>
        <w:jc w:val="center"/>
        <w:rPr>
          <w:rFonts w:hint="eastAsia" w:ascii="黑体" w:hAnsi="宋体" w:eastAsia="黑体"/>
          <w:b/>
          <w:sz w:val="32"/>
          <w:szCs w:val="32"/>
        </w:rPr>
      </w:pPr>
      <w:bookmarkStart w:id="369" w:name="_Toc31928"/>
      <w:bookmarkStart w:id="370" w:name="_Toc2975"/>
    </w:p>
    <w:p w14:paraId="376A4CE1">
      <w:pPr>
        <w:pStyle w:val="4"/>
        <w:bidi w:val="0"/>
        <w:rPr>
          <w:rFonts w:hint="eastAsia"/>
        </w:rPr>
      </w:pPr>
      <w:bookmarkStart w:id="371" w:name="_Toc18916"/>
      <w:r>
        <w:rPr>
          <w:rFonts w:hint="eastAsia"/>
          <w:lang w:eastAsia="zh-CN"/>
        </w:rPr>
        <w:t>五</w:t>
      </w:r>
      <w:r>
        <w:rPr>
          <w:rFonts w:hint="eastAsia"/>
        </w:rPr>
        <w:t>、技术/商务响应与偏离表</w:t>
      </w:r>
      <w:bookmarkEnd w:id="369"/>
      <w:bookmarkEnd w:id="370"/>
      <w:bookmarkEnd w:id="371"/>
    </w:p>
    <w:p w14:paraId="7F8F14B3">
      <w:pPr>
        <w:adjustRightInd w:val="0"/>
        <w:snapToGrid w:val="0"/>
        <w:ind w:left="-88" w:leftChars="-42" w:firstLine="315" w:firstLineChars="150"/>
        <w:rPr>
          <w:rFonts w:hint="eastAsia" w:ascii="宋体" w:hAnsi="宋体"/>
          <w:szCs w:val="21"/>
          <w:u w:val="single"/>
        </w:rPr>
      </w:pPr>
    </w:p>
    <w:tbl>
      <w:tblPr>
        <w:tblStyle w:val="22"/>
        <w:tblW w:w="874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634"/>
        <w:gridCol w:w="1685"/>
        <w:gridCol w:w="1948"/>
        <w:gridCol w:w="2600"/>
        <w:gridCol w:w="1214"/>
        <w:gridCol w:w="661"/>
      </w:tblGrid>
      <w:tr w14:paraId="4786DC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634" w:type="dxa"/>
            <w:noWrap w:val="0"/>
            <w:vAlign w:val="center"/>
          </w:tcPr>
          <w:p w14:paraId="746493FF">
            <w:pPr>
              <w:adjustRightInd w:val="0"/>
              <w:snapToGrid w:val="0"/>
              <w:ind w:left="-88" w:leftChars="-42"/>
              <w:jc w:val="center"/>
              <w:rPr>
                <w:rFonts w:hint="eastAsia" w:ascii="宋体" w:hAnsi="宋体"/>
                <w:bCs/>
                <w:szCs w:val="21"/>
              </w:rPr>
            </w:pPr>
            <w:r>
              <w:rPr>
                <w:rFonts w:hint="eastAsia" w:ascii="宋体" w:hAnsi="宋体"/>
                <w:bCs/>
                <w:szCs w:val="21"/>
              </w:rPr>
              <w:t>序号</w:t>
            </w:r>
          </w:p>
        </w:tc>
        <w:tc>
          <w:tcPr>
            <w:tcW w:w="1685" w:type="dxa"/>
            <w:noWrap w:val="0"/>
            <w:vAlign w:val="center"/>
          </w:tcPr>
          <w:p w14:paraId="779FD536">
            <w:pPr>
              <w:adjustRightInd w:val="0"/>
              <w:snapToGrid w:val="0"/>
              <w:ind w:left="-88" w:leftChars="-42"/>
              <w:jc w:val="center"/>
              <w:rPr>
                <w:rFonts w:hint="eastAsia" w:ascii="宋体" w:hAnsi="宋体"/>
                <w:szCs w:val="21"/>
              </w:rPr>
            </w:pPr>
            <w:r>
              <w:rPr>
                <w:rFonts w:hint="eastAsia" w:ascii="宋体" w:hAnsi="宋体"/>
                <w:szCs w:val="21"/>
              </w:rPr>
              <w:t>磋商文件条目号</w:t>
            </w:r>
          </w:p>
        </w:tc>
        <w:tc>
          <w:tcPr>
            <w:tcW w:w="1948" w:type="dxa"/>
            <w:noWrap w:val="0"/>
            <w:vAlign w:val="center"/>
          </w:tcPr>
          <w:p w14:paraId="486D5271">
            <w:pPr>
              <w:adjustRightInd w:val="0"/>
              <w:snapToGrid w:val="0"/>
              <w:ind w:left="-88" w:leftChars="-42"/>
              <w:jc w:val="center"/>
              <w:rPr>
                <w:rFonts w:hint="eastAsia" w:ascii="宋体" w:hAnsi="宋体"/>
                <w:szCs w:val="21"/>
              </w:rPr>
            </w:pPr>
            <w:r>
              <w:rPr>
                <w:rFonts w:hint="eastAsia" w:ascii="宋体" w:hAnsi="宋体"/>
                <w:szCs w:val="21"/>
              </w:rPr>
              <w:t>采购规格/商务条款</w:t>
            </w:r>
          </w:p>
        </w:tc>
        <w:tc>
          <w:tcPr>
            <w:tcW w:w="2600" w:type="dxa"/>
            <w:noWrap w:val="0"/>
            <w:vAlign w:val="center"/>
          </w:tcPr>
          <w:p w14:paraId="0679606E">
            <w:pPr>
              <w:adjustRightInd w:val="0"/>
              <w:snapToGrid w:val="0"/>
              <w:ind w:left="-88" w:leftChars="-42"/>
              <w:jc w:val="center"/>
              <w:rPr>
                <w:rFonts w:hint="eastAsia" w:ascii="宋体" w:hAnsi="宋体"/>
                <w:szCs w:val="21"/>
              </w:rPr>
            </w:pPr>
            <w:r>
              <w:rPr>
                <w:rFonts w:hint="eastAsia" w:ascii="宋体" w:hAnsi="宋体"/>
                <w:szCs w:val="21"/>
              </w:rPr>
              <w:t>响应文件的规格/商务条款</w:t>
            </w:r>
          </w:p>
        </w:tc>
        <w:tc>
          <w:tcPr>
            <w:tcW w:w="1214" w:type="dxa"/>
            <w:noWrap w:val="0"/>
            <w:vAlign w:val="center"/>
          </w:tcPr>
          <w:p w14:paraId="11E1AF1F">
            <w:pPr>
              <w:adjustRightInd w:val="0"/>
              <w:snapToGrid w:val="0"/>
              <w:ind w:left="-88" w:leftChars="-42"/>
              <w:jc w:val="center"/>
              <w:rPr>
                <w:rFonts w:hint="eastAsia" w:ascii="宋体" w:hAnsi="宋体"/>
                <w:szCs w:val="21"/>
              </w:rPr>
            </w:pPr>
            <w:r>
              <w:rPr>
                <w:rFonts w:hint="eastAsia" w:ascii="宋体" w:hAnsi="宋体"/>
                <w:szCs w:val="21"/>
              </w:rPr>
              <w:t>响应与偏离</w:t>
            </w:r>
          </w:p>
        </w:tc>
        <w:tc>
          <w:tcPr>
            <w:tcW w:w="661" w:type="dxa"/>
            <w:noWrap w:val="0"/>
            <w:vAlign w:val="center"/>
          </w:tcPr>
          <w:p w14:paraId="1C305458">
            <w:pPr>
              <w:adjustRightInd w:val="0"/>
              <w:snapToGrid w:val="0"/>
              <w:ind w:left="-88" w:leftChars="-42"/>
              <w:jc w:val="center"/>
              <w:rPr>
                <w:rFonts w:hint="eastAsia" w:ascii="宋体" w:hAnsi="宋体"/>
                <w:szCs w:val="21"/>
              </w:rPr>
            </w:pPr>
            <w:r>
              <w:rPr>
                <w:rFonts w:hint="eastAsia" w:ascii="宋体" w:hAnsi="宋体"/>
                <w:szCs w:val="21"/>
              </w:rPr>
              <w:t>说明</w:t>
            </w:r>
          </w:p>
        </w:tc>
      </w:tr>
      <w:tr w14:paraId="721582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634" w:type="dxa"/>
            <w:noWrap w:val="0"/>
            <w:vAlign w:val="top"/>
          </w:tcPr>
          <w:p w14:paraId="274E7939">
            <w:pPr>
              <w:adjustRightInd w:val="0"/>
              <w:snapToGrid w:val="0"/>
              <w:ind w:left="-88" w:leftChars="-42"/>
              <w:jc w:val="center"/>
              <w:rPr>
                <w:rFonts w:hint="eastAsia" w:ascii="宋体" w:hAnsi="宋体"/>
                <w:szCs w:val="21"/>
              </w:rPr>
            </w:pPr>
          </w:p>
        </w:tc>
        <w:tc>
          <w:tcPr>
            <w:tcW w:w="1685" w:type="dxa"/>
            <w:noWrap w:val="0"/>
            <w:vAlign w:val="center"/>
          </w:tcPr>
          <w:p w14:paraId="71D80A70">
            <w:pPr>
              <w:adjustRightInd w:val="0"/>
              <w:snapToGrid w:val="0"/>
              <w:ind w:left="-88" w:leftChars="-42"/>
              <w:jc w:val="center"/>
              <w:rPr>
                <w:rFonts w:hint="eastAsia" w:ascii="宋体" w:hAnsi="宋体"/>
                <w:szCs w:val="21"/>
              </w:rPr>
            </w:pPr>
          </w:p>
        </w:tc>
        <w:tc>
          <w:tcPr>
            <w:tcW w:w="1948" w:type="dxa"/>
            <w:noWrap w:val="0"/>
            <w:vAlign w:val="center"/>
          </w:tcPr>
          <w:p w14:paraId="1EEC5051">
            <w:pPr>
              <w:adjustRightInd w:val="0"/>
              <w:snapToGrid w:val="0"/>
              <w:ind w:left="-88" w:leftChars="-42"/>
              <w:jc w:val="center"/>
              <w:rPr>
                <w:rFonts w:hint="eastAsia" w:ascii="宋体" w:hAnsi="宋体"/>
                <w:szCs w:val="21"/>
              </w:rPr>
            </w:pPr>
          </w:p>
        </w:tc>
        <w:tc>
          <w:tcPr>
            <w:tcW w:w="2600" w:type="dxa"/>
            <w:noWrap w:val="0"/>
            <w:vAlign w:val="center"/>
          </w:tcPr>
          <w:p w14:paraId="2EE8EFBD">
            <w:pPr>
              <w:adjustRightInd w:val="0"/>
              <w:snapToGrid w:val="0"/>
              <w:ind w:left="-88" w:leftChars="-42"/>
              <w:jc w:val="center"/>
              <w:rPr>
                <w:rFonts w:hint="eastAsia" w:ascii="宋体" w:hAnsi="宋体"/>
                <w:szCs w:val="21"/>
              </w:rPr>
            </w:pPr>
          </w:p>
        </w:tc>
        <w:tc>
          <w:tcPr>
            <w:tcW w:w="1214" w:type="dxa"/>
            <w:noWrap w:val="0"/>
            <w:vAlign w:val="center"/>
          </w:tcPr>
          <w:p w14:paraId="4BE2C259">
            <w:pPr>
              <w:adjustRightInd w:val="0"/>
              <w:snapToGrid w:val="0"/>
              <w:ind w:left="-88" w:leftChars="-42"/>
              <w:jc w:val="center"/>
              <w:rPr>
                <w:rFonts w:hint="eastAsia" w:ascii="宋体" w:hAnsi="宋体"/>
                <w:szCs w:val="21"/>
              </w:rPr>
            </w:pPr>
          </w:p>
        </w:tc>
        <w:tc>
          <w:tcPr>
            <w:tcW w:w="661" w:type="dxa"/>
            <w:noWrap w:val="0"/>
            <w:vAlign w:val="center"/>
          </w:tcPr>
          <w:p w14:paraId="48F77667">
            <w:pPr>
              <w:adjustRightInd w:val="0"/>
              <w:snapToGrid w:val="0"/>
              <w:ind w:left="-88" w:leftChars="-42"/>
              <w:jc w:val="center"/>
              <w:rPr>
                <w:rFonts w:hint="eastAsia" w:ascii="宋体" w:hAnsi="宋体"/>
                <w:szCs w:val="21"/>
              </w:rPr>
            </w:pPr>
          </w:p>
        </w:tc>
      </w:tr>
      <w:tr w14:paraId="3294A1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634" w:type="dxa"/>
            <w:noWrap w:val="0"/>
            <w:vAlign w:val="top"/>
          </w:tcPr>
          <w:p w14:paraId="1E436BA7">
            <w:pPr>
              <w:adjustRightInd w:val="0"/>
              <w:snapToGrid w:val="0"/>
              <w:ind w:left="-88" w:leftChars="-42"/>
              <w:jc w:val="center"/>
              <w:rPr>
                <w:rFonts w:hint="eastAsia" w:ascii="宋体" w:hAnsi="宋体"/>
                <w:szCs w:val="21"/>
              </w:rPr>
            </w:pPr>
          </w:p>
        </w:tc>
        <w:tc>
          <w:tcPr>
            <w:tcW w:w="1685" w:type="dxa"/>
            <w:noWrap w:val="0"/>
            <w:vAlign w:val="center"/>
          </w:tcPr>
          <w:p w14:paraId="7C9F86E1">
            <w:pPr>
              <w:adjustRightInd w:val="0"/>
              <w:snapToGrid w:val="0"/>
              <w:ind w:left="-88" w:leftChars="-42"/>
              <w:jc w:val="center"/>
              <w:rPr>
                <w:rFonts w:hint="eastAsia" w:ascii="宋体" w:hAnsi="宋体"/>
                <w:szCs w:val="21"/>
              </w:rPr>
            </w:pPr>
          </w:p>
        </w:tc>
        <w:tc>
          <w:tcPr>
            <w:tcW w:w="1948" w:type="dxa"/>
            <w:noWrap w:val="0"/>
            <w:vAlign w:val="center"/>
          </w:tcPr>
          <w:p w14:paraId="1DE52FCA">
            <w:pPr>
              <w:adjustRightInd w:val="0"/>
              <w:snapToGrid w:val="0"/>
              <w:ind w:left="-88" w:leftChars="-42"/>
              <w:jc w:val="center"/>
              <w:rPr>
                <w:rFonts w:hint="eastAsia" w:ascii="宋体" w:hAnsi="宋体"/>
                <w:szCs w:val="21"/>
              </w:rPr>
            </w:pPr>
          </w:p>
        </w:tc>
        <w:tc>
          <w:tcPr>
            <w:tcW w:w="2600" w:type="dxa"/>
            <w:noWrap w:val="0"/>
            <w:vAlign w:val="center"/>
          </w:tcPr>
          <w:p w14:paraId="560E8DD0">
            <w:pPr>
              <w:adjustRightInd w:val="0"/>
              <w:snapToGrid w:val="0"/>
              <w:ind w:left="-88" w:leftChars="-42"/>
              <w:jc w:val="center"/>
              <w:rPr>
                <w:rFonts w:hint="eastAsia" w:ascii="宋体" w:hAnsi="宋体"/>
                <w:szCs w:val="21"/>
              </w:rPr>
            </w:pPr>
          </w:p>
        </w:tc>
        <w:tc>
          <w:tcPr>
            <w:tcW w:w="1214" w:type="dxa"/>
            <w:noWrap w:val="0"/>
            <w:vAlign w:val="center"/>
          </w:tcPr>
          <w:p w14:paraId="3D7E9E06">
            <w:pPr>
              <w:adjustRightInd w:val="0"/>
              <w:snapToGrid w:val="0"/>
              <w:ind w:left="-88" w:leftChars="-42"/>
              <w:jc w:val="center"/>
              <w:rPr>
                <w:rFonts w:hint="eastAsia" w:ascii="宋体" w:hAnsi="宋体"/>
                <w:szCs w:val="21"/>
              </w:rPr>
            </w:pPr>
          </w:p>
        </w:tc>
        <w:tc>
          <w:tcPr>
            <w:tcW w:w="661" w:type="dxa"/>
            <w:noWrap w:val="0"/>
            <w:vAlign w:val="center"/>
          </w:tcPr>
          <w:p w14:paraId="02CE4B76">
            <w:pPr>
              <w:adjustRightInd w:val="0"/>
              <w:snapToGrid w:val="0"/>
              <w:ind w:left="-88" w:leftChars="-42"/>
              <w:jc w:val="center"/>
              <w:rPr>
                <w:rFonts w:hint="eastAsia" w:ascii="宋体" w:hAnsi="宋体"/>
                <w:szCs w:val="21"/>
              </w:rPr>
            </w:pPr>
          </w:p>
        </w:tc>
      </w:tr>
      <w:tr w14:paraId="098A4AE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634" w:type="dxa"/>
            <w:noWrap w:val="0"/>
            <w:vAlign w:val="top"/>
          </w:tcPr>
          <w:p w14:paraId="02EEEA6A">
            <w:pPr>
              <w:adjustRightInd w:val="0"/>
              <w:snapToGrid w:val="0"/>
              <w:ind w:left="-88" w:leftChars="-42"/>
              <w:jc w:val="center"/>
              <w:rPr>
                <w:rFonts w:hint="eastAsia" w:ascii="宋体" w:hAnsi="宋体"/>
                <w:szCs w:val="21"/>
              </w:rPr>
            </w:pPr>
          </w:p>
        </w:tc>
        <w:tc>
          <w:tcPr>
            <w:tcW w:w="1685" w:type="dxa"/>
            <w:noWrap w:val="0"/>
            <w:vAlign w:val="center"/>
          </w:tcPr>
          <w:p w14:paraId="3A6714C4">
            <w:pPr>
              <w:adjustRightInd w:val="0"/>
              <w:snapToGrid w:val="0"/>
              <w:ind w:left="-88" w:leftChars="-42"/>
              <w:jc w:val="center"/>
              <w:rPr>
                <w:rFonts w:hint="eastAsia" w:ascii="宋体" w:hAnsi="宋体"/>
                <w:szCs w:val="21"/>
              </w:rPr>
            </w:pPr>
          </w:p>
        </w:tc>
        <w:tc>
          <w:tcPr>
            <w:tcW w:w="1948" w:type="dxa"/>
            <w:noWrap w:val="0"/>
            <w:vAlign w:val="center"/>
          </w:tcPr>
          <w:p w14:paraId="71C92C8A">
            <w:pPr>
              <w:adjustRightInd w:val="0"/>
              <w:snapToGrid w:val="0"/>
              <w:ind w:left="-88" w:leftChars="-42"/>
              <w:jc w:val="center"/>
              <w:rPr>
                <w:rFonts w:hint="eastAsia" w:ascii="宋体" w:hAnsi="宋体"/>
                <w:szCs w:val="21"/>
              </w:rPr>
            </w:pPr>
          </w:p>
        </w:tc>
        <w:tc>
          <w:tcPr>
            <w:tcW w:w="2600" w:type="dxa"/>
            <w:noWrap w:val="0"/>
            <w:vAlign w:val="center"/>
          </w:tcPr>
          <w:p w14:paraId="75D5D58C">
            <w:pPr>
              <w:adjustRightInd w:val="0"/>
              <w:snapToGrid w:val="0"/>
              <w:ind w:left="-88" w:leftChars="-42"/>
              <w:jc w:val="center"/>
              <w:rPr>
                <w:rFonts w:hint="eastAsia" w:ascii="宋体" w:hAnsi="宋体"/>
                <w:szCs w:val="21"/>
              </w:rPr>
            </w:pPr>
          </w:p>
        </w:tc>
        <w:tc>
          <w:tcPr>
            <w:tcW w:w="1214" w:type="dxa"/>
            <w:noWrap w:val="0"/>
            <w:vAlign w:val="center"/>
          </w:tcPr>
          <w:p w14:paraId="6B7A9B49">
            <w:pPr>
              <w:adjustRightInd w:val="0"/>
              <w:snapToGrid w:val="0"/>
              <w:ind w:left="-88" w:leftChars="-42"/>
              <w:jc w:val="center"/>
              <w:rPr>
                <w:rFonts w:hint="eastAsia" w:ascii="宋体" w:hAnsi="宋体"/>
                <w:szCs w:val="21"/>
              </w:rPr>
            </w:pPr>
          </w:p>
        </w:tc>
        <w:tc>
          <w:tcPr>
            <w:tcW w:w="661" w:type="dxa"/>
            <w:noWrap w:val="0"/>
            <w:vAlign w:val="center"/>
          </w:tcPr>
          <w:p w14:paraId="64D17010">
            <w:pPr>
              <w:adjustRightInd w:val="0"/>
              <w:snapToGrid w:val="0"/>
              <w:ind w:left="-88" w:leftChars="-42"/>
              <w:jc w:val="center"/>
              <w:rPr>
                <w:rFonts w:hint="eastAsia" w:ascii="宋体" w:hAnsi="宋体"/>
                <w:szCs w:val="21"/>
              </w:rPr>
            </w:pPr>
          </w:p>
        </w:tc>
      </w:tr>
      <w:tr w14:paraId="53816C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634" w:type="dxa"/>
            <w:noWrap w:val="0"/>
            <w:vAlign w:val="top"/>
          </w:tcPr>
          <w:p w14:paraId="3D6DF28A">
            <w:pPr>
              <w:adjustRightInd w:val="0"/>
              <w:snapToGrid w:val="0"/>
              <w:ind w:left="-88" w:leftChars="-42"/>
              <w:jc w:val="center"/>
              <w:rPr>
                <w:rFonts w:hint="eastAsia" w:ascii="宋体" w:hAnsi="宋体"/>
                <w:szCs w:val="21"/>
              </w:rPr>
            </w:pPr>
          </w:p>
        </w:tc>
        <w:tc>
          <w:tcPr>
            <w:tcW w:w="1685" w:type="dxa"/>
            <w:noWrap w:val="0"/>
            <w:vAlign w:val="center"/>
          </w:tcPr>
          <w:p w14:paraId="49CF4005">
            <w:pPr>
              <w:adjustRightInd w:val="0"/>
              <w:snapToGrid w:val="0"/>
              <w:ind w:left="-88" w:leftChars="-42"/>
              <w:jc w:val="center"/>
              <w:rPr>
                <w:rFonts w:hint="eastAsia" w:ascii="宋体" w:hAnsi="宋体"/>
                <w:szCs w:val="21"/>
              </w:rPr>
            </w:pPr>
          </w:p>
        </w:tc>
        <w:tc>
          <w:tcPr>
            <w:tcW w:w="1948" w:type="dxa"/>
            <w:noWrap w:val="0"/>
            <w:vAlign w:val="center"/>
          </w:tcPr>
          <w:p w14:paraId="7717E417">
            <w:pPr>
              <w:adjustRightInd w:val="0"/>
              <w:snapToGrid w:val="0"/>
              <w:ind w:left="-88" w:leftChars="-42"/>
              <w:jc w:val="center"/>
              <w:rPr>
                <w:rFonts w:hint="eastAsia" w:ascii="宋体" w:hAnsi="宋体"/>
                <w:szCs w:val="21"/>
              </w:rPr>
            </w:pPr>
          </w:p>
        </w:tc>
        <w:tc>
          <w:tcPr>
            <w:tcW w:w="2600" w:type="dxa"/>
            <w:noWrap w:val="0"/>
            <w:vAlign w:val="center"/>
          </w:tcPr>
          <w:p w14:paraId="3CA15675">
            <w:pPr>
              <w:adjustRightInd w:val="0"/>
              <w:snapToGrid w:val="0"/>
              <w:ind w:left="-88" w:leftChars="-42"/>
              <w:jc w:val="center"/>
              <w:rPr>
                <w:rFonts w:hint="eastAsia" w:ascii="宋体" w:hAnsi="宋体"/>
                <w:szCs w:val="21"/>
              </w:rPr>
            </w:pPr>
          </w:p>
        </w:tc>
        <w:tc>
          <w:tcPr>
            <w:tcW w:w="1214" w:type="dxa"/>
            <w:noWrap w:val="0"/>
            <w:vAlign w:val="center"/>
          </w:tcPr>
          <w:p w14:paraId="5A0D8AE7">
            <w:pPr>
              <w:adjustRightInd w:val="0"/>
              <w:snapToGrid w:val="0"/>
              <w:ind w:left="-88" w:leftChars="-42"/>
              <w:jc w:val="center"/>
              <w:rPr>
                <w:rFonts w:hint="eastAsia" w:ascii="宋体" w:hAnsi="宋体"/>
                <w:szCs w:val="21"/>
              </w:rPr>
            </w:pPr>
          </w:p>
        </w:tc>
        <w:tc>
          <w:tcPr>
            <w:tcW w:w="661" w:type="dxa"/>
            <w:noWrap w:val="0"/>
            <w:vAlign w:val="center"/>
          </w:tcPr>
          <w:p w14:paraId="0CFA6991">
            <w:pPr>
              <w:adjustRightInd w:val="0"/>
              <w:snapToGrid w:val="0"/>
              <w:ind w:left="-88" w:leftChars="-42"/>
              <w:jc w:val="center"/>
              <w:rPr>
                <w:rFonts w:hint="eastAsia" w:ascii="宋体" w:hAnsi="宋体"/>
                <w:szCs w:val="21"/>
              </w:rPr>
            </w:pPr>
          </w:p>
        </w:tc>
      </w:tr>
      <w:tr w14:paraId="092FF4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634" w:type="dxa"/>
            <w:noWrap w:val="0"/>
            <w:vAlign w:val="top"/>
          </w:tcPr>
          <w:p w14:paraId="45700895">
            <w:pPr>
              <w:adjustRightInd w:val="0"/>
              <w:snapToGrid w:val="0"/>
              <w:ind w:left="-88" w:leftChars="-42"/>
              <w:jc w:val="center"/>
              <w:rPr>
                <w:rFonts w:hint="eastAsia" w:ascii="宋体" w:hAnsi="宋体"/>
                <w:szCs w:val="21"/>
              </w:rPr>
            </w:pPr>
          </w:p>
        </w:tc>
        <w:tc>
          <w:tcPr>
            <w:tcW w:w="1685" w:type="dxa"/>
            <w:noWrap w:val="0"/>
            <w:vAlign w:val="center"/>
          </w:tcPr>
          <w:p w14:paraId="276C7A39">
            <w:pPr>
              <w:adjustRightInd w:val="0"/>
              <w:snapToGrid w:val="0"/>
              <w:ind w:left="-88" w:leftChars="-42"/>
              <w:jc w:val="center"/>
              <w:rPr>
                <w:rFonts w:hint="eastAsia" w:ascii="宋体" w:hAnsi="宋体"/>
                <w:szCs w:val="21"/>
              </w:rPr>
            </w:pPr>
          </w:p>
        </w:tc>
        <w:tc>
          <w:tcPr>
            <w:tcW w:w="1948" w:type="dxa"/>
            <w:noWrap w:val="0"/>
            <w:vAlign w:val="center"/>
          </w:tcPr>
          <w:p w14:paraId="68A5D1D5">
            <w:pPr>
              <w:adjustRightInd w:val="0"/>
              <w:snapToGrid w:val="0"/>
              <w:ind w:left="-88" w:leftChars="-42"/>
              <w:jc w:val="center"/>
              <w:rPr>
                <w:rFonts w:hint="eastAsia" w:ascii="宋体" w:hAnsi="宋体"/>
                <w:szCs w:val="21"/>
              </w:rPr>
            </w:pPr>
          </w:p>
        </w:tc>
        <w:tc>
          <w:tcPr>
            <w:tcW w:w="2600" w:type="dxa"/>
            <w:noWrap w:val="0"/>
            <w:vAlign w:val="center"/>
          </w:tcPr>
          <w:p w14:paraId="0BA22AF1">
            <w:pPr>
              <w:adjustRightInd w:val="0"/>
              <w:snapToGrid w:val="0"/>
              <w:ind w:left="-88" w:leftChars="-42"/>
              <w:jc w:val="center"/>
              <w:rPr>
                <w:rFonts w:hint="eastAsia" w:ascii="宋体" w:hAnsi="宋体"/>
                <w:szCs w:val="21"/>
              </w:rPr>
            </w:pPr>
          </w:p>
        </w:tc>
        <w:tc>
          <w:tcPr>
            <w:tcW w:w="1214" w:type="dxa"/>
            <w:noWrap w:val="0"/>
            <w:vAlign w:val="center"/>
          </w:tcPr>
          <w:p w14:paraId="1E1F2F5A">
            <w:pPr>
              <w:adjustRightInd w:val="0"/>
              <w:snapToGrid w:val="0"/>
              <w:ind w:left="-88" w:leftChars="-42"/>
              <w:jc w:val="center"/>
              <w:rPr>
                <w:rFonts w:hint="eastAsia" w:ascii="宋体" w:hAnsi="宋体"/>
                <w:szCs w:val="21"/>
              </w:rPr>
            </w:pPr>
          </w:p>
        </w:tc>
        <w:tc>
          <w:tcPr>
            <w:tcW w:w="661" w:type="dxa"/>
            <w:noWrap w:val="0"/>
            <w:vAlign w:val="center"/>
          </w:tcPr>
          <w:p w14:paraId="205B4DCB">
            <w:pPr>
              <w:adjustRightInd w:val="0"/>
              <w:snapToGrid w:val="0"/>
              <w:ind w:left="-88" w:leftChars="-42"/>
              <w:jc w:val="center"/>
              <w:rPr>
                <w:rFonts w:hint="eastAsia" w:ascii="宋体" w:hAnsi="宋体"/>
                <w:szCs w:val="21"/>
              </w:rPr>
            </w:pPr>
          </w:p>
        </w:tc>
      </w:tr>
    </w:tbl>
    <w:p w14:paraId="19E4821A">
      <w:pPr>
        <w:adjustRightInd w:val="0"/>
        <w:snapToGrid w:val="0"/>
        <w:spacing w:line="360" w:lineRule="auto"/>
        <w:ind w:left="-88" w:leftChars="-42"/>
        <w:rPr>
          <w:rFonts w:hint="eastAsia" w:ascii="仿宋_GB2312" w:hAnsi="宋体" w:eastAsia="仿宋_GB2312"/>
          <w:szCs w:val="21"/>
        </w:rPr>
      </w:pPr>
    </w:p>
    <w:p w14:paraId="6AAE4544">
      <w:pPr>
        <w:adjustRightInd w:val="0"/>
        <w:snapToGrid w:val="0"/>
        <w:spacing w:line="360" w:lineRule="auto"/>
        <w:ind w:left="-88" w:leftChars="-42"/>
        <w:rPr>
          <w:rFonts w:hint="eastAsia" w:ascii="仿宋_GB2312" w:hAnsi="宋体" w:eastAsia="仿宋_GB2312"/>
          <w:szCs w:val="21"/>
        </w:rPr>
      </w:pPr>
      <w:r>
        <w:rPr>
          <w:rFonts w:hint="eastAsia" w:ascii="仿宋_GB2312" w:hAnsi="宋体" w:eastAsia="仿宋_GB2312"/>
          <w:szCs w:val="21"/>
        </w:rPr>
        <w:t>说明：1、“响应与偏离”应注明“响应”或“偏离”。</w:t>
      </w:r>
    </w:p>
    <w:p w14:paraId="5DD358A0">
      <w:pPr>
        <w:adjustRightInd w:val="0"/>
        <w:snapToGrid w:val="0"/>
        <w:spacing w:line="360" w:lineRule="auto"/>
        <w:rPr>
          <w:rFonts w:hint="eastAsia" w:ascii="仿宋_GB2312" w:hAnsi="宋体" w:eastAsia="仿宋_GB2312"/>
          <w:szCs w:val="21"/>
        </w:rPr>
      </w:pPr>
      <w:r>
        <w:rPr>
          <w:rFonts w:hint="eastAsia" w:ascii="仿宋_GB2312" w:hAnsi="宋体" w:eastAsia="仿宋_GB2312"/>
          <w:b/>
          <w:szCs w:val="21"/>
        </w:rPr>
        <w:t xml:space="preserve">     </w:t>
      </w:r>
      <w:r>
        <w:rPr>
          <w:rFonts w:hint="eastAsia" w:ascii="仿宋_GB2312" w:hAnsi="宋体" w:eastAsia="仿宋_GB2312"/>
          <w:szCs w:val="21"/>
        </w:rPr>
        <w:t>2、属磋商文件规定可能变动的内容在“说明”栏中注明。</w:t>
      </w:r>
    </w:p>
    <w:p w14:paraId="43BE16BB">
      <w:pPr>
        <w:pStyle w:val="14"/>
        <w:adjustRightInd w:val="0"/>
        <w:snapToGrid w:val="0"/>
        <w:spacing w:line="360" w:lineRule="auto"/>
        <w:outlineLvl w:val="0"/>
        <w:rPr>
          <w:rFonts w:hint="eastAsia" w:ascii="宋体" w:hAnsi="宋体"/>
          <w:sz w:val="21"/>
          <w:szCs w:val="21"/>
        </w:rPr>
      </w:pPr>
    </w:p>
    <w:p w14:paraId="106B12C8">
      <w:pPr>
        <w:rPr>
          <w:rFonts w:hint="eastAsia"/>
        </w:rPr>
      </w:pPr>
    </w:p>
    <w:p w14:paraId="68B3F2F3">
      <w:pPr>
        <w:rPr>
          <w:rFonts w:hint="eastAsia"/>
        </w:rPr>
      </w:pPr>
    </w:p>
    <w:p w14:paraId="779DB829">
      <w:pPr>
        <w:rPr>
          <w:rFonts w:hint="eastAsia"/>
        </w:rPr>
      </w:pPr>
    </w:p>
    <w:p w14:paraId="57BFA234">
      <w:pPr>
        <w:rPr>
          <w:rFonts w:hint="eastAsia"/>
        </w:rPr>
      </w:pPr>
    </w:p>
    <w:p w14:paraId="29EE0D24">
      <w:pPr>
        <w:rPr>
          <w:rFonts w:hint="eastAsia"/>
        </w:rPr>
      </w:pPr>
    </w:p>
    <w:p w14:paraId="281C5290">
      <w:pPr>
        <w:rPr>
          <w:rFonts w:hint="eastAsia"/>
        </w:rPr>
      </w:pPr>
    </w:p>
    <w:p w14:paraId="6F96E8F9">
      <w:pPr>
        <w:bidi w:val="0"/>
        <w:rPr>
          <w:rFonts w:hint="eastAsia"/>
          <w:u w:val="single"/>
        </w:rPr>
      </w:pPr>
      <w:bookmarkStart w:id="372" w:name="_Toc18848"/>
      <w:bookmarkStart w:id="373" w:name="_Toc28517"/>
      <w:bookmarkStart w:id="374" w:name="_Toc11950"/>
      <w:r>
        <w:rPr>
          <w:rFonts w:hint="eastAsia"/>
          <w:u w:val="none"/>
        </w:rPr>
        <w:t>供应商名称：</w:t>
      </w:r>
      <w:bookmarkEnd w:id="372"/>
      <w:bookmarkEnd w:id="373"/>
      <w:bookmarkEnd w:id="374"/>
      <w:r>
        <w:rPr>
          <w:rFonts w:hint="eastAsia"/>
          <w:u w:val="none"/>
        </w:rPr>
        <w:t xml:space="preserve"> </w:t>
      </w:r>
      <w:r>
        <w:rPr>
          <w:rFonts w:hint="eastAsia"/>
          <w:u w:val="single"/>
        </w:rPr>
        <w:t xml:space="preserve">                  </w:t>
      </w:r>
    </w:p>
    <w:p w14:paraId="3AAA15E2">
      <w:pPr>
        <w:bidi w:val="0"/>
        <w:rPr>
          <w:rFonts w:hint="eastAsia"/>
          <w:u w:val="single"/>
        </w:rPr>
      </w:pPr>
      <w:bookmarkStart w:id="375" w:name="_Toc1271"/>
      <w:bookmarkStart w:id="376" w:name="_Toc31773"/>
      <w:bookmarkStart w:id="377" w:name="_Toc4415"/>
      <w:r>
        <w:rPr>
          <w:rFonts w:hint="eastAsia"/>
          <w:u w:val="none"/>
        </w:rPr>
        <w:t>法定代表人或其委托代理人(签字)：</w:t>
      </w:r>
      <w:bookmarkEnd w:id="375"/>
      <w:bookmarkEnd w:id="376"/>
      <w:bookmarkEnd w:id="377"/>
      <w:r>
        <w:rPr>
          <w:rFonts w:hint="eastAsia"/>
          <w:u w:val="single"/>
        </w:rPr>
        <w:t xml:space="preserve">                   </w:t>
      </w:r>
    </w:p>
    <w:p w14:paraId="53B4EB4A">
      <w:pPr>
        <w:bidi w:val="0"/>
        <w:rPr>
          <w:rFonts w:hint="eastAsia"/>
          <w:u w:val="single"/>
        </w:rPr>
      </w:pPr>
      <w:bookmarkStart w:id="378" w:name="_Toc5026"/>
      <w:bookmarkStart w:id="379" w:name="_Toc9217"/>
      <w:bookmarkStart w:id="380" w:name="_Toc19349"/>
      <w:r>
        <w:rPr>
          <w:rFonts w:hint="eastAsia"/>
          <w:u w:val="none"/>
        </w:rPr>
        <w:t>日          期：</w:t>
      </w:r>
      <w:r>
        <w:rPr>
          <w:rFonts w:hint="eastAsia"/>
          <w:u w:val="single"/>
        </w:rPr>
        <w:t xml:space="preserve">      </w:t>
      </w:r>
      <w:r>
        <w:rPr>
          <w:rFonts w:hint="eastAsia"/>
          <w:u w:val="none"/>
        </w:rPr>
        <w:t xml:space="preserve"> 年</w:t>
      </w:r>
      <w:r>
        <w:rPr>
          <w:rFonts w:hint="eastAsia"/>
          <w:u w:val="single"/>
        </w:rPr>
        <w:t xml:space="preserve">     </w:t>
      </w:r>
      <w:r>
        <w:rPr>
          <w:rFonts w:hint="eastAsia"/>
          <w:u w:val="none"/>
        </w:rPr>
        <w:t xml:space="preserve"> 月</w:t>
      </w:r>
      <w:r>
        <w:rPr>
          <w:rFonts w:hint="eastAsia"/>
          <w:u w:val="single"/>
        </w:rPr>
        <w:t xml:space="preserve">     </w:t>
      </w:r>
      <w:r>
        <w:rPr>
          <w:rFonts w:hint="eastAsia"/>
          <w:u w:val="none"/>
        </w:rPr>
        <w:t>日</w:t>
      </w:r>
      <w:bookmarkEnd w:id="378"/>
      <w:bookmarkEnd w:id="379"/>
      <w:bookmarkEnd w:id="380"/>
    </w:p>
    <w:p w14:paraId="418120B7">
      <w:pPr>
        <w:bidi w:val="0"/>
        <w:rPr>
          <w:rFonts w:hint="eastAsia"/>
          <w:u w:val="single"/>
        </w:rPr>
      </w:pPr>
    </w:p>
    <w:p w14:paraId="3882E4B6">
      <w:pPr>
        <w:tabs>
          <w:tab w:val="left" w:pos="3600"/>
        </w:tabs>
        <w:adjustRightInd w:val="0"/>
        <w:snapToGrid w:val="0"/>
        <w:jc w:val="center"/>
        <w:rPr>
          <w:rFonts w:hint="eastAsia" w:ascii="黑体" w:eastAsia="黑体"/>
          <w:b/>
          <w:sz w:val="32"/>
          <w:szCs w:val="32"/>
        </w:rPr>
      </w:pPr>
    </w:p>
    <w:p w14:paraId="54DF7EC4">
      <w:pPr>
        <w:tabs>
          <w:tab w:val="left" w:pos="3600"/>
        </w:tabs>
        <w:adjustRightInd w:val="0"/>
        <w:snapToGrid w:val="0"/>
        <w:jc w:val="center"/>
        <w:rPr>
          <w:rFonts w:hint="eastAsia" w:ascii="黑体" w:eastAsia="黑体"/>
          <w:b/>
          <w:sz w:val="32"/>
          <w:szCs w:val="32"/>
        </w:rPr>
      </w:pPr>
    </w:p>
    <w:p w14:paraId="0EF811AD">
      <w:pPr>
        <w:pStyle w:val="21"/>
        <w:rPr>
          <w:rFonts w:hint="eastAsia"/>
        </w:rPr>
      </w:pPr>
    </w:p>
    <w:p w14:paraId="330FBF28">
      <w:pPr>
        <w:tabs>
          <w:tab w:val="left" w:pos="3600"/>
        </w:tabs>
        <w:adjustRightInd w:val="0"/>
        <w:snapToGrid w:val="0"/>
        <w:jc w:val="center"/>
        <w:rPr>
          <w:rFonts w:hint="eastAsia" w:ascii="黑体" w:eastAsia="黑体"/>
          <w:b/>
          <w:sz w:val="32"/>
          <w:szCs w:val="32"/>
        </w:rPr>
      </w:pPr>
    </w:p>
    <w:p w14:paraId="0FC41CF4">
      <w:pPr>
        <w:tabs>
          <w:tab w:val="left" w:pos="3600"/>
        </w:tabs>
        <w:adjustRightInd w:val="0"/>
        <w:snapToGrid w:val="0"/>
        <w:jc w:val="center"/>
        <w:rPr>
          <w:rFonts w:hint="eastAsia" w:ascii="黑体" w:eastAsia="黑体"/>
          <w:b/>
          <w:sz w:val="32"/>
          <w:szCs w:val="32"/>
        </w:rPr>
      </w:pPr>
    </w:p>
    <w:p w14:paraId="4532690C">
      <w:pPr>
        <w:tabs>
          <w:tab w:val="left" w:pos="3600"/>
        </w:tabs>
        <w:adjustRightInd w:val="0"/>
        <w:snapToGrid w:val="0"/>
        <w:jc w:val="center"/>
        <w:rPr>
          <w:rFonts w:hint="eastAsia" w:ascii="黑体" w:eastAsia="黑体"/>
          <w:b/>
          <w:sz w:val="32"/>
          <w:szCs w:val="32"/>
        </w:rPr>
      </w:pPr>
    </w:p>
    <w:p w14:paraId="45BD9352">
      <w:pPr>
        <w:tabs>
          <w:tab w:val="left" w:pos="3600"/>
        </w:tabs>
        <w:adjustRightInd w:val="0"/>
        <w:snapToGrid w:val="0"/>
        <w:jc w:val="center"/>
        <w:rPr>
          <w:rFonts w:hint="eastAsia" w:ascii="黑体" w:eastAsia="黑体"/>
          <w:b/>
          <w:sz w:val="32"/>
          <w:szCs w:val="32"/>
        </w:rPr>
      </w:pPr>
    </w:p>
    <w:p w14:paraId="4916AF7B">
      <w:pPr>
        <w:tabs>
          <w:tab w:val="left" w:pos="3600"/>
        </w:tabs>
        <w:adjustRightInd w:val="0"/>
        <w:snapToGrid w:val="0"/>
        <w:rPr>
          <w:rFonts w:hint="eastAsia" w:ascii="黑体" w:eastAsia="黑体"/>
          <w:b/>
          <w:sz w:val="32"/>
          <w:szCs w:val="32"/>
        </w:rPr>
      </w:pPr>
    </w:p>
    <w:p w14:paraId="41C913BC">
      <w:pPr>
        <w:tabs>
          <w:tab w:val="left" w:pos="3600"/>
        </w:tabs>
        <w:adjustRightInd w:val="0"/>
        <w:snapToGrid w:val="0"/>
        <w:rPr>
          <w:rFonts w:hint="eastAsia" w:ascii="黑体" w:eastAsia="黑体"/>
          <w:b/>
          <w:sz w:val="32"/>
          <w:szCs w:val="32"/>
        </w:rPr>
      </w:pPr>
    </w:p>
    <w:p w14:paraId="3D645649">
      <w:pPr>
        <w:tabs>
          <w:tab w:val="left" w:pos="3600"/>
        </w:tabs>
        <w:adjustRightInd w:val="0"/>
        <w:snapToGrid w:val="0"/>
        <w:rPr>
          <w:rFonts w:hint="eastAsia" w:ascii="黑体" w:eastAsia="黑体"/>
          <w:b/>
          <w:sz w:val="32"/>
          <w:szCs w:val="32"/>
        </w:rPr>
      </w:pPr>
    </w:p>
    <w:p w14:paraId="00D11DE4">
      <w:pPr>
        <w:tabs>
          <w:tab w:val="left" w:pos="3600"/>
        </w:tabs>
        <w:adjustRightInd w:val="0"/>
        <w:snapToGrid w:val="0"/>
        <w:rPr>
          <w:rFonts w:hint="eastAsia" w:ascii="黑体" w:eastAsia="黑体"/>
          <w:b/>
          <w:sz w:val="32"/>
          <w:szCs w:val="32"/>
        </w:rPr>
      </w:pPr>
    </w:p>
    <w:p w14:paraId="00B05F35">
      <w:pPr>
        <w:pStyle w:val="21"/>
        <w:rPr>
          <w:rFonts w:hint="eastAsia"/>
        </w:rPr>
      </w:pPr>
    </w:p>
    <w:p w14:paraId="6872B851">
      <w:pPr>
        <w:pStyle w:val="4"/>
        <w:bidi w:val="0"/>
      </w:pPr>
      <w:bookmarkStart w:id="381" w:name="_Toc22239"/>
      <w:bookmarkStart w:id="382" w:name="_Toc17215"/>
      <w:bookmarkStart w:id="383" w:name="_Toc23560"/>
      <w:bookmarkStart w:id="384" w:name="_Toc22201161"/>
      <w:bookmarkStart w:id="385" w:name="_Toc107998049"/>
      <w:r>
        <w:rPr>
          <w:rFonts w:hint="eastAsia"/>
          <w:lang w:eastAsia="zh-CN"/>
        </w:rPr>
        <w:t>六</w:t>
      </w:r>
      <w:r>
        <w:rPr>
          <w:rFonts w:hint="eastAsia"/>
        </w:rPr>
        <w:t>、享受政府采购政策优惠的证明资料</w:t>
      </w:r>
      <w:bookmarkEnd w:id="381"/>
      <w:bookmarkEnd w:id="382"/>
      <w:bookmarkEnd w:id="383"/>
      <w:bookmarkEnd w:id="384"/>
      <w:bookmarkEnd w:id="385"/>
    </w:p>
    <w:p w14:paraId="4CB41809">
      <w:pPr>
        <w:pStyle w:val="4"/>
        <w:bidi w:val="0"/>
        <w:rPr>
          <w:rFonts w:hint="eastAsia" w:ascii="黑体" w:hAnsi="华文中宋" w:cs="宋体"/>
          <w:bCs/>
          <w:color w:val="auto"/>
          <w:spacing w:val="6"/>
          <w:kern w:val="0"/>
          <w:szCs w:val="21"/>
          <w:lang w:val="en-US" w:eastAsia="zh-CN"/>
        </w:rPr>
      </w:pPr>
      <w:bookmarkStart w:id="386" w:name="_Toc29698"/>
    </w:p>
    <w:p w14:paraId="493E0C2A">
      <w:pPr>
        <w:pStyle w:val="4"/>
        <w:bidi w:val="0"/>
        <w:jc w:val="center"/>
        <w:rPr>
          <w:rFonts w:hint="eastAsia" w:ascii="黑体" w:hAnsi="华文中宋" w:cs="宋体"/>
          <w:bCs/>
          <w:color w:val="auto"/>
          <w:spacing w:val="6"/>
          <w:kern w:val="0"/>
          <w:szCs w:val="21"/>
          <w:lang w:val="en-US" w:eastAsia="zh-CN"/>
        </w:rPr>
        <w:sectPr>
          <w:pgSz w:w="11906" w:h="16838"/>
          <w:pgMar w:top="1134" w:right="1531" w:bottom="1440" w:left="1531" w:header="851" w:footer="992" w:gutter="0"/>
          <w:pgNumType w:fmt="decimal"/>
          <w:cols w:space="0" w:num="1"/>
          <w:titlePg/>
          <w:rtlGutter w:val="0"/>
          <w:docGrid w:type="lines" w:linePitch="312" w:charSpace="0"/>
        </w:sectPr>
      </w:pPr>
      <w:r>
        <w:rPr>
          <w:rFonts w:hint="eastAsia" w:ascii="黑体" w:hAnsi="华文中宋" w:cs="宋体"/>
          <w:b w:val="0"/>
          <w:bCs/>
          <w:color w:val="auto"/>
          <w:spacing w:val="6"/>
          <w:kern w:val="0"/>
          <w:sz w:val="24"/>
          <w:szCs w:val="18"/>
          <w:lang w:val="en-US" w:eastAsia="zh-CN"/>
        </w:rPr>
        <w:t>本项目不适用</w:t>
      </w:r>
    </w:p>
    <w:p w14:paraId="6F97142E">
      <w:pPr>
        <w:pStyle w:val="4"/>
        <w:bidi w:val="0"/>
        <w:rPr>
          <w:rFonts w:hint="eastAsia"/>
        </w:rPr>
      </w:pPr>
      <w:r>
        <w:rPr>
          <w:rFonts w:hint="eastAsia"/>
          <w:lang w:eastAsia="zh-CN"/>
        </w:rPr>
        <w:t>七</w:t>
      </w:r>
      <w:r>
        <w:rPr>
          <w:rFonts w:hint="eastAsia"/>
        </w:rPr>
        <w:t>、报价一览表及报价文件</w:t>
      </w:r>
      <w:bookmarkEnd w:id="386"/>
    </w:p>
    <w:p w14:paraId="4C04CC45">
      <w:pPr>
        <w:adjustRightInd w:val="0"/>
        <w:snapToGrid w:val="0"/>
        <w:rPr>
          <w:rFonts w:hint="eastAsia" w:ascii="黑体" w:hAnsi="黑体" w:eastAsia="黑体"/>
          <w:sz w:val="30"/>
          <w:szCs w:val="30"/>
          <w:lang w:val="en-US" w:eastAsia="zh-CN"/>
        </w:rPr>
      </w:pPr>
      <w:r>
        <w:rPr>
          <w:rFonts w:hint="eastAsia" w:ascii="黑体" w:hAnsi="黑体" w:eastAsia="黑体"/>
          <w:sz w:val="30"/>
          <w:szCs w:val="30"/>
        </w:rPr>
        <w:t>附件</w:t>
      </w:r>
      <w:r>
        <w:rPr>
          <w:rFonts w:hint="eastAsia" w:ascii="黑体" w:hAnsi="黑体" w:eastAsia="黑体"/>
          <w:sz w:val="30"/>
          <w:szCs w:val="30"/>
          <w:lang w:val="en-US" w:eastAsia="zh-CN"/>
        </w:rPr>
        <w:t>9</w:t>
      </w:r>
    </w:p>
    <w:p w14:paraId="7C062089">
      <w:pPr>
        <w:adjustRightInd w:val="0"/>
        <w:snapToGrid w:val="0"/>
        <w:rPr>
          <w:rFonts w:hint="eastAsia" w:ascii="黑体" w:hAnsi="黑体" w:eastAsia="黑体"/>
          <w:sz w:val="30"/>
          <w:szCs w:val="30"/>
        </w:rPr>
      </w:pPr>
    </w:p>
    <w:p w14:paraId="07EDD89E">
      <w:pPr>
        <w:spacing w:line="360" w:lineRule="exact"/>
        <w:ind w:firstLine="300" w:firstLineChars="100"/>
        <w:rPr>
          <w:rFonts w:hint="eastAsia" w:ascii="楷体_GB2312" w:eastAsia="楷体_GB2312"/>
          <w:sz w:val="30"/>
          <w:szCs w:val="30"/>
        </w:rPr>
      </w:pPr>
    </w:p>
    <w:p w14:paraId="177E9895">
      <w:pPr>
        <w:adjustRightInd w:val="0"/>
        <w:snapToGrid w:val="0"/>
        <w:jc w:val="center"/>
        <w:rPr>
          <w:rFonts w:hint="eastAsia" w:ascii="黑体" w:hAnsi="宋体" w:eastAsia="黑体"/>
          <w:bCs/>
          <w:sz w:val="30"/>
          <w:szCs w:val="30"/>
        </w:rPr>
      </w:pPr>
    </w:p>
    <w:p w14:paraId="507A513E">
      <w:pPr>
        <w:jc w:val="center"/>
        <w:rPr>
          <w:rFonts w:ascii="黑体" w:hAnsi="宋体" w:eastAsia="黑体"/>
          <w:b w:val="0"/>
          <w:bCs/>
          <w:sz w:val="28"/>
          <w:szCs w:val="28"/>
        </w:rPr>
      </w:pPr>
      <w:r>
        <w:rPr>
          <w:rFonts w:hint="eastAsia" w:ascii="黑体" w:hAnsi="宋体" w:eastAsia="黑体"/>
          <w:b w:val="0"/>
          <w:bCs/>
          <w:sz w:val="28"/>
          <w:szCs w:val="28"/>
        </w:rPr>
        <w:t>报价一览表（工程类适用）</w:t>
      </w:r>
    </w:p>
    <w:p w14:paraId="0C5DB75F">
      <w:pPr>
        <w:adjustRightInd w:val="0"/>
        <w:snapToGrid w:val="0"/>
        <w:rPr>
          <w:rFonts w:hint="eastAsia" w:ascii="黑体" w:hAnsi="宋体" w:eastAsia="黑体"/>
          <w:sz w:val="24"/>
        </w:rPr>
      </w:pPr>
    </w:p>
    <w:tbl>
      <w:tblPr>
        <w:tblStyle w:val="2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303"/>
        <w:gridCol w:w="3097"/>
        <w:gridCol w:w="1573"/>
        <w:gridCol w:w="1785"/>
      </w:tblGrid>
      <w:tr w14:paraId="0C097F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210" w:hRule="atLeast"/>
          <w:jc w:val="center"/>
        </w:trPr>
        <w:tc>
          <w:tcPr>
            <w:tcW w:w="2303" w:type="dxa"/>
            <w:tcBorders>
              <w:top w:val="double" w:color="auto" w:sz="4" w:space="0"/>
              <w:bottom w:val="single" w:color="auto" w:sz="6" w:space="0"/>
              <w:right w:val="single" w:color="auto" w:sz="6" w:space="0"/>
            </w:tcBorders>
            <w:noWrap w:val="0"/>
            <w:vAlign w:val="center"/>
          </w:tcPr>
          <w:p w14:paraId="38445AA3">
            <w:pPr>
              <w:jc w:val="center"/>
              <w:rPr>
                <w:rFonts w:hint="eastAsia" w:ascii="宋体" w:hAnsi="宋体"/>
                <w:color w:val="auto"/>
                <w:szCs w:val="21"/>
                <w:highlight w:val="none"/>
              </w:rPr>
            </w:pPr>
            <w:r>
              <w:rPr>
                <w:rFonts w:ascii="宋体" w:hAnsi="宋体"/>
                <w:color w:val="auto"/>
                <w:szCs w:val="21"/>
                <w:highlight w:val="none"/>
              </w:rPr>
              <w:t>项目</w:t>
            </w:r>
            <w:r>
              <w:rPr>
                <w:rFonts w:hint="eastAsia" w:ascii="宋体" w:hAnsi="宋体"/>
                <w:color w:val="auto"/>
                <w:szCs w:val="21"/>
                <w:highlight w:val="none"/>
              </w:rPr>
              <w:t>名称</w:t>
            </w:r>
          </w:p>
        </w:tc>
        <w:tc>
          <w:tcPr>
            <w:tcW w:w="3097" w:type="dxa"/>
            <w:tcBorders>
              <w:top w:val="double" w:color="auto" w:sz="4" w:space="0"/>
              <w:left w:val="single" w:color="auto" w:sz="6" w:space="0"/>
              <w:bottom w:val="single" w:color="auto" w:sz="6" w:space="0"/>
              <w:right w:val="single" w:color="auto" w:sz="6" w:space="0"/>
            </w:tcBorders>
            <w:noWrap w:val="0"/>
            <w:vAlign w:val="center"/>
          </w:tcPr>
          <w:p w14:paraId="0E884625">
            <w:pPr>
              <w:jc w:val="center"/>
              <w:rPr>
                <w:rFonts w:hint="eastAsia" w:ascii="宋体" w:hAnsi="宋体"/>
                <w:color w:val="auto"/>
                <w:szCs w:val="21"/>
                <w:highlight w:val="none"/>
              </w:rPr>
            </w:pPr>
          </w:p>
        </w:tc>
        <w:tc>
          <w:tcPr>
            <w:tcW w:w="1573" w:type="dxa"/>
            <w:tcBorders>
              <w:top w:val="double" w:color="auto" w:sz="4" w:space="0"/>
              <w:left w:val="single" w:color="auto" w:sz="6" w:space="0"/>
              <w:right w:val="single" w:color="auto" w:sz="6" w:space="0"/>
            </w:tcBorders>
            <w:noWrap w:val="0"/>
            <w:vAlign w:val="center"/>
          </w:tcPr>
          <w:p w14:paraId="0250FEDC">
            <w:pPr>
              <w:jc w:val="center"/>
              <w:rPr>
                <w:rFonts w:hint="eastAsia" w:ascii="宋体" w:hAnsi="宋体"/>
                <w:color w:val="auto"/>
                <w:szCs w:val="21"/>
                <w:highlight w:val="none"/>
              </w:rPr>
            </w:pPr>
            <w:r>
              <w:rPr>
                <w:rFonts w:hint="eastAsia" w:ascii="宋体" w:hAnsi="宋体"/>
                <w:color w:val="auto"/>
                <w:szCs w:val="21"/>
                <w:highlight w:val="none"/>
              </w:rPr>
              <w:t>采购代理</w:t>
            </w:r>
            <w:r>
              <w:rPr>
                <w:rFonts w:ascii="宋体" w:hAnsi="宋体"/>
                <w:color w:val="auto"/>
                <w:szCs w:val="21"/>
                <w:highlight w:val="none"/>
              </w:rPr>
              <w:t>编号</w:t>
            </w:r>
          </w:p>
        </w:tc>
        <w:tc>
          <w:tcPr>
            <w:tcW w:w="1785" w:type="dxa"/>
            <w:tcBorders>
              <w:top w:val="double" w:color="auto" w:sz="4" w:space="0"/>
              <w:left w:val="single" w:color="auto" w:sz="6" w:space="0"/>
              <w:bottom w:val="single" w:color="auto" w:sz="6" w:space="0"/>
            </w:tcBorders>
            <w:noWrap w:val="0"/>
            <w:vAlign w:val="center"/>
          </w:tcPr>
          <w:p w14:paraId="30AB3049">
            <w:pPr>
              <w:jc w:val="center"/>
              <w:rPr>
                <w:rFonts w:hint="eastAsia" w:ascii="宋体" w:hAnsi="宋体"/>
                <w:color w:val="auto"/>
                <w:szCs w:val="21"/>
                <w:highlight w:val="none"/>
              </w:rPr>
            </w:pPr>
            <w:r>
              <w:rPr>
                <w:rFonts w:hint="eastAsia" w:ascii="宋体" w:hAnsi="宋体"/>
                <w:color w:val="auto"/>
                <w:szCs w:val="21"/>
                <w:highlight w:val="none"/>
              </w:rPr>
              <w:t xml:space="preserve">    </w:t>
            </w:r>
          </w:p>
        </w:tc>
      </w:tr>
      <w:tr w14:paraId="67C684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68" w:hRule="atLeast"/>
          <w:jc w:val="center"/>
        </w:trPr>
        <w:tc>
          <w:tcPr>
            <w:tcW w:w="2303" w:type="dxa"/>
            <w:tcBorders>
              <w:top w:val="single" w:color="auto" w:sz="6" w:space="0"/>
              <w:bottom w:val="single" w:color="auto" w:sz="6" w:space="0"/>
            </w:tcBorders>
            <w:noWrap w:val="0"/>
            <w:vAlign w:val="center"/>
          </w:tcPr>
          <w:p w14:paraId="5CAB3A21">
            <w:pPr>
              <w:jc w:val="center"/>
              <w:rPr>
                <w:rFonts w:hint="eastAsia" w:ascii="宋体" w:hAnsi="宋体"/>
                <w:color w:val="auto"/>
                <w:szCs w:val="21"/>
                <w:highlight w:val="none"/>
              </w:rPr>
            </w:pPr>
            <w:r>
              <w:rPr>
                <w:rFonts w:hint="eastAsia" w:ascii="宋体" w:hAnsi="宋体"/>
                <w:color w:val="auto"/>
                <w:szCs w:val="21"/>
                <w:highlight w:val="none"/>
              </w:rPr>
              <w:t>报价</w:t>
            </w:r>
          </w:p>
        </w:tc>
        <w:tc>
          <w:tcPr>
            <w:tcW w:w="6455" w:type="dxa"/>
            <w:gridSpan w:val="3"/>
            <w:tcBorders>
              <w:top w:val="single" w:color="auto" w:sz="6" w:space="0"/>
              <w:bottom w:val="single" w:color="auto" w:sz="6" w:space="0"/>
            </w:tcBorders>
            <w:noWrap w:val="0"/>
            <w:vAlign w:val="center"/>
          </w:tcPr>
          <w:p w14:paraId="418E480D">
            <w:pPr>
              <w:rPr>
                <w:rFonts w:hint="eastAsia" w:ascii="宋体" w:hAnsi="宋体"/>
                <w:color w:val="auto"/>
                <w:szCs w:val="21"/>
                <w:highlight w:val="none"/>
              </w:rPr>
            </w:pPr>
            <w:r>
              <w:rPr>
                <w:rFonts w:hint="eastAsia" w:ascii="宋体" w:hAnsi="宋体"/>
                <w:color w:val="auto"/>
                <w:szCs w:val="21"/>
                <w:highlight w:val="none"/>
              </w:rPr>
              <w:t>大写：</w:t>
            </w:r>
            <w:r>
              <w:rPr>
                <w:rFonts w:hint="eastAsia" w:ascii="宋体" w:hAnsi="宋体"/>
                <w:color w:val="auto"/>
                <w:szCs w:val="21"/>
                <w:highlight w:val="none"/>
                <w:u w:val="single"/>
              </w:rPr>
              <w:t xml:space="preserve">                    </w:t>
            </w:r>
            <w:r>
              <w:rPr>
                <w:rFonts w:hint="eastAsia" w:ascii="宋体" w:hAnsi="宋体"/>
                <w:color w:val="auto"/>
                <w:szCs w:val="21"/>
                <w:highlight w:val="none"/>
              </w:rPr>
              <w:t>元人民币整</w:t>
            </w:r>
          </w:p>
          <w:p w14:paraId="2EAC338E">
            <w:pPr>
              <w:rPr>
                <w:rFonts w:hint="eastAsia" w:ascii="宋体" w:hAnsi="宋体"/>
                <w:color w:val="auto"/>
                <w:szCs w:val="21"/>
                <w:highlight w:val="none"/>
              </w:rPr>
            </w:pPr>
            <w:r>
              <w:rPr>
                <w:rFonts w:hint="eastAsia" w:ascii="宋体" w:hAnsi="宋体"/>
                <w:color w:val="auto"/>
                <w:szCs w:val="21"/>
                <w:highlight w:val="none"/>
              </w:rPr>
              <w:t>小写：</w:t>
            </w:r>
            <w:r>
              <w:rPr>
                <w:rFonts w:hint="eastAsia" w:ascii="宋体" w:hAnsi="宋体"/>
                <w:color w:val="auto"/>
                <w:szCs w:val="21"/>
                <w:highlight w:val="none"/>
                <w:u w:val="single"/>
              </w:rPr>
              <w:t xml:space="preserve">                    </w:t>
            </w:r>
            <w:r>
              <w:rPr>
                <w:rFonts w:hint="eastAsia" w:ascii="宋体" w:hAnsi="宋体"/>
                <w:color w:val="auto"/>
                <w:szCs w:val="21"/>
                <w:highlight w:val="none"/>
              </w:rPr>
              <w:t>元人民币整</w:t>
            </w:r>
          </w:p>
        </w:tc>
      </w:tr>
      <w:tr w14:paraId="19A0DE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303" w:type="dxa"/>
            <w:tcBorders>
              <w:top w:val="single" w:color="auto" w:sz="6" w:space="0"/>
              <w:bottom w:val="single" w:color="auto" w:sz="6" w:space="0"/>
            </w:tcBorders>
            <w:noWrap w:val="0"/>
            <w:vAlign w:val="center"/>
          </w:tcPr>
          <w:p w14:paraId="259F4A25">
            <w:pPr>
              <w:jc w:val="center"/>
              <w:rPr>
                <w:rFonts w:hint="eastAsia" w:ascii="宋体" w:hAnsi="宋体"/>
                <w:color w:val="auto"/>
                <w:szCs w:val="21"/>
                <w:highlight w:val="none"/>
              </w:rPr>
            </w:pPr>
            <w:r>
              <w:rPr>
                <w:rFonts w:hint="eastAsia" w:ascii="宋体" w:hAnsi="宋体"/>
                <w:color w:val="auto"/>
                <w:szCs w:val="21"/>
                <w:highlight w:val="none"/>
              </w:rPr>
              <w:t>工期</w:t>
            </w:r>
          </w:p>
        </w:tc>
        <w:tc>
          <w:tcPr>
            <w:tcW w:w="6455" w:type="dxa"/>
            <w:gridSpan w:val="3"/>
            <w:tcBorders>
              <w:top w:val="single" w:color="auto" w:sz="6" w:space="0"/>
              <w:bottom w:val="single" w:color="auto" w:sz="6" w:space="0"/>
            </w:tcBorders>
            <w:noWrap w:val="0"/>
            <w:vAlign w:val="center"/>
          </w:tcPr>
          <w:p w14:paraId="6A10D3C8">
            <w:pPr>
              <w:jc w:val="center"/>
              <w:rPr>
                <w:rFonts w:hint="eastAsia" w:ascii="宋体" w:hAnsi="宋体"/>
                <w:color w:val="auto"/>
                <w:szCs w:val="21"/>
                <w:highlight w:val="none"/>
              </w:rPr>
            </w:pPr>
          </w:p>
        </w:tc>
      </w:tr>
      <w:tr w14:paraId="6373EC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303" w:type="dxa"/>
            <w:tcBorders>
              <w:top w:val="single" w:color="auto" w:sz="6" w:space="0"/>
              <w:bottom w:val="single" w:color="auto" w:sz="6" w:space="0"/>
            </w:tcBorders>
            <w:noWrap w:val="0"/>
            <w:vAlign w:val="center"/>
          </w:tcPr>
          <w:p w14:paraId="54789085">
            <w:pPr>
              <w:jc w:val="center"/>
              <w:rPr>
                <w:rFonts w:hint="eastAsia" w:ascii="宋体" w:hAnsi="宋体"/>
                <w:color w:val="auto"/>
                <w:szCs w:val="21"/>
                <w:highlight w:val="none"/>
              </w:rPr>
            </w:pPr>
            <w:r>
              <w:rPr>
                <w:rFonts w:hint="eastAsia" w:ascii="宋体" w:hAnsi="宋体"/>
                <w:color w:val="auto"/>
                <w:szCs w:val="21"/>
                <w:highlight w:val="none"/>
              </w:rPr>
              <w:t>项目负责人</w:t>
            </w:r>
          </w:p>
        </w:tc>
        <w:tc>
          <w:tcPr>
            <w:tcW w:w="6455" w:type="dxa"/>
            <w:gridSpan w:val="3"/>
            <w:tcBorders>
              <w:top w:val="single" w:color="auto" w:sz="6" w:space="0"/>
              <w:bottom w:val="single" w:color="auto" w:sz="6" w:space="0"/>
            </w:tcBorders>
            <w:noWrap w:val="0"/>
            <w:vAlign w:val="center"/>
          </w:tcPr>
          <w:p w14:paraId="58543F2F">
            <w:pPr>
              <w:jc w:val="center"/>
              <w:rPr>
                <w:rFonts w:hint="eastAsia" w:ascii="宋体" w:hAnsi="宋体"/>
                <w:color w:val="auto"/>
                <w:szCs w:val="21"/>
                <w:highlight w:val="none"/>
              </w:rPr>
            </w:pPr>
          </w:p>
        </w:tc>
      </w:tr>
      <w:tr w14:paraId="4548EA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45" w:hRule="atLeast"/>
          <w:jc w:val="center"/>
        </w:trPr>
        <w:tc>
          <w:tcPr>
            <w:tcW w:w="2303" w:type="dxa"/>
            <w:tcBorders>
              <w:top w:val="single" w:color="auto" w:sz="6" w:space="0"/>
              <w:bottom w:val="double" w:color="auto" w:sz="4" w:space="0"/>
            </w:tcBorders>
            <w:noWrap w:val="0"/>
            <w:vAlign w:val="center"/>
          </w:tcPr>
          <w:p w14:paraId="17C27E75">
            <w:pPr>
              <w:jc w:val="center"/>
              <w:rPr>
                <w:rFonts w:hint="eastAsia" w:ascii="宋体" w:hAnsi="宋体"/>
                <w:color w:val="auto"/>
                <w:szCs w:val="21"/>
                <w:highlight w:val="none"/>
              </w:rPr>
            </w:pPr>
            <w:r>
              <w:rPr>
                <w:rFonts w:ascii="宋体" w:hAnsi="宋体"/>
                <w:color w:val="auto"/>
                <w:szCs w:val="21"/>
                <w:highlight w:val="none"/>
              </w:rPr>
              <w:t>备  注</w:t>
            </w:r>
          </w:p>
        </w:tc>
        <w:tc>
          <w:tcPr>
            <w:tcW w:w="6455" w:type="dxa"/>
            <w:gridSpan w:val="3"/>
            <w:tcBorders>
              <w:top w:val="single" w:color="auto" w:sz="6" w:space="0"/>
              <w:bottom w:val="double" w:color="auto" w:sz="4" w:space="0"/>
            </w:tcBorders>
            <w:noWrap w:val="0"/>
            <w:vAlign w:val="center"/>
          </w:tcPr>
          <w:p w14:paraId="2FA9AB03">
            <w:pPr>
              <w:jc w:val="center"/>
              <w:rPr>
                <w:rFonts w:hint="eastAsia" w:ascii="宋体" w:hAnsi="宋体"/>
                <w:color w:val="auto"/>
                <w:szCs w:val="21"/>
                <w:highlight w:val="none"/>
              </w:rPr>
            </w:pPr>
          </w:p>
        </w:tc>
      </w:tr>
    </w:tbl>
    <w:p w14:paraId="226857FE">
      <w:pPr>
        <w:adjustRightInd w:val="0"/>
        <w:snapToGrid w:val="0"/>
        <w:jc w:val="right"/>
        <w:rPr>
          <w:rFonts w:hint="eastAsia" w:ascii="宋体" w:hAnsi="宋体"/>
          <w:szCs w:val="21"/>
        </w:rPr>
      </w:pPr>
    </w:p>
    <w:p w14:paraId="7A088838">
      <w:pPr>
        <w:adjustRightInd w:val="0"/>
        <w:snapToGrid w:val="0"/>
        <w:spacing w:line="360" w:lineRule="auto"/>
        <w:rPr>
          <w:rFonts w:hint="eastAsia" w:ascii="宋体"/>
        </w:rPr>
      </w:pPr>
    </w:p>
    <w:p w14:paraId="74027BBF">
      <w:pPr>
        <w:adjustRightInd w:val="0"/>
        <w:snapToGrid w:val="0"/>
        <w:spacing w:line="360" w:lineRule="auto"/>
        <w:rPr>
          <w:rFonts w:hint="eastAsia" w:ascii="宋体"/>
        </w:rPr>
      </w:pPr>
    </w:p>
    <w:p w14:paraId="17706BBB">
      <w:pPr>
        <w:adjustRightInd w:val="0"/>
        <w:snapToGrid w:val="0"/>
        <w:spacing w:line="360" w:lineRule="auto"/>
        <w:rPr>
          <w:rFonts w:hint="eastAsia" w:ascii="宋体" w:hAnsi="宋体"/>
          <w:szCs w:val="21"/>
        </w:rPr>
      </w:pPr>
      <w:r>
        <w:rPr>
          <w:rFonts w:hint="eastAsia" w:ascii="宋体" w:hAnsi="宋体"/>
          <w:szCs w:val="21"/>
        </w:rPr>
        <w:t>供应商（盖单位章）：</w:t>
      </w:r>
    </w:p>
    <w:p w14:paraId="2C9AFF74">
      <w:pPr>
        <w:adjustRightInd w:val="0"/>
        <w:snapToGrid w:val="0"/>
        <w:spacing w:line="360" w:lineRule="auto"/>
        <w:rPr>
          <w:rFonts w:hint="eastAsia" w:ascii="宋体" w:hAnsi="宋体"/>
          <w:szCs w:val="21"/>
        </w:rPr>
      </w:pPr>
      <w:r>
        <w:rPr>
          <w:rFonts w:hint="eastAsia" w:ascii="宋体" w:hAnsi="宋体"/>
          <w:szCs w:val="21"/>
        </w:rPr>
        <w:t>法定代表人或其委托代理人签字：</w:t>
      </w:r>
      <w:r>
        <w:rPr>
          <w:rFonts w:hint="eastAsia" w:ascii="宋体" w:hAnsi="宋体"/>
          <w:szCs w:val="21"/>
          <w:u w:val="single"/>
        </w:rPr>
        <w:t xml:space="preserve">       </w:t>
      </w:r>
    </w:p>
    <w:p w14:paraId="1EA76CCF">
      <w:pPr>
        <w:adjustRightInd w:val="0"/>
        <w:snapToGrid w:val="0"/>
        <w:spacing w:line="360" w:lineRule="auto"/>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452582D4">
      <w:pPr>
        <w:adjustRightInd w:val="0"/>
        <w:snapToGrid w:val="0"/>
        <w:rPr>
          <w:rFonts w:hint="eastAsia" w:ascii="宋体" w:hAnsi="宋体"/>
          <w:szCs w:val="21"/>
        </w:rPr>
      </w:pPr>
    </w:p>
    <w:p w14:paraId="4D40E0F4">
      <w:pPr>
        <w:spacing w:line="360" w:lineRule="exact"/>
        <w:ind w:firstLine="211" w:firstLineChars="100"/>
        <w:rPr>
          <w:rFonts w:hint="eastAsia" w:ascii="楷体_GB2312" w:eastAsia="楷体_GB2312"/>
          <w:b/>
        </w:rPr>
      </w:pPr>
    </w:p>
    <w:p w14:paraId="58559356">
      <w:pPr>
        <w:adjustRightInd w:val="0"/>
        <w:snapToGrid w:val="0"/>
        <w:jc w:val="center"/>
        <w:rPr>
          <w:rFonts w:hint="eastAsia" w:ascii="黑体" w:hAnsi="宋体" w:eastAsia="黑体"/>
          <w:b/>
          <w:sz w:val="28"/>
          <w:szCs w:val="28"/>
        </w:rPr>
      </w:pPr>
    </w:p>
    <w:p w14:paraId="6D597493">
      <w:pPr>
        <w:adjustRightInd w:val="0"/>
        <w:snapToGrid w:val="0"/>
        <w:jc w:val="center"/>
        <w:rPr>
          <w:rFonts w:hint="eastAsia" w:ascii="黑体" w:hAnsi="宋体" w:eastAsia="黑体"/>
          <w:b/>
          <w:sz w:val="28"/>
          <w:szCs w:val="28"/>
        </w:rPr>
      </w:pPr>
    </w:p>
    <w:p w14:paraId="67D30039">
      <w:pPr>
        <w:adjustRightInd w:val="0"/>
        <w:snapToGrid w:val="0"/>
        <w:jc w:val="center"/>
        <w:rPr>
          <w:rFonts w:hint="eastAsia" w:ascii="黑体" w:hAnsi="宋体" w:eastAsia="黑体"/>
          <w:b/>
          <w:sz w:val="28"/>
          <w:szCs w:val="28"/>
        </w:rPr>
      </w:pPr>
    </w:p>
    <w:p w14:paraId="6988A9DA">
      <w:pPr>
        <w:adjustRightInd w:val="0"/>
        <w:snapToGrid w:val="0"/>
        <w:jc w:val="center"/>
        <w:rPr>
          <w:rFonts w:hint="eastAsia" w:ascii="黑体" w:hAnsi="宋体" w:eastAsia="黑体"/>
          <w:b/>
          <w:sz w:val="28"/>
          <w:szCs w:val="28"/>
        </w:rPr>
      </w:pPr>
    </w:p>
    <w:p w14:paraId="5A815070">
      <w:pPr>
        <w:adjustRightInd w:val="0"/>
        <w:snapToGrid w:val="0"/>
        <w:jc w:val="center"/>
        <w:rPr>
          <w:rFonts w:hint="eastAsia" w:ascii="黑体" w:hAnsi="宋体" w:eastAsia="黑体"/>
          <w:b/>
          <w:sz w:val="28"/>
          <w:szCs w:val="28"/>
        </w:rPr>
      </w:pPr>
    </w:p>
    <w:p w14:paraId="40FDABF4">
      <w:pPr>
        <w:adjustRightInd w:val="0"/>
        <w:snapToGrid w:val="0"/>
        <w:rPr>
          <w:rFonts w:hint="eastAsia" w:ascii="黑体" w:hAnsi="黑体" w:eastAsia="黑体"/>
          <w:sz w:val="30"/>
          <w:szCs w:val="30"/>
        </w:rPr>
      </w:pPr>
    </w:p>
    <w:p w14:paraId="1989CBF9">
      <w:pPr>
        <w:adjustRightInd w:val="0"/>
        <w:snapToGrid w:val="0"/>
        <w:jc w:val="both"/>
        <w:rPr>
          <w:rFonts w:hint="eastAsia" w:ascii="黑体" w:hAnsi="宋体" w:eastAsia="黑体"/>
          <w:b/>
          <w:sz w:val="28"/>
          <w:szCs w:val="28"/>
        </w:rPr>
      </w:pPr>
    </w:p>
    <w:p w14:paraId="4B37F362">
      <w:pPr>
        <w:rPr>
          <w:rFonts w:hint="eastAsia" w:ascii="黑体" w:hAnsi="宋体" w:eastAsia="黑体"/>
          <w:b/>
          <w:sz w:val="28"/>
          <w:szCs w:val="28"/>
        </w:rPr>
      </w:pPr>
      <w:r>
        <w:rPr>
          <w:rFonts w:hint="eastAsia" w:ascii="黑体" w:hAnsi="宋体" w:eastAsia="黑体"/>
          <w:b/>
          <w:sz w:val="28"/>
          <w:szCs w:val="28"/>
        </w:rPr>
        <w:br w:type="page"/>
      </w:r>
    </w:p>
    <w:p w14:paraId="79C7899D">
      <w:pPr>
        <w:adjustRightInd w:val="0"/>
        <w:snapToGrid w:val="0"/>
        <w:jc w:val="center"/>
        <w:rPr>
          <w:rFonts w:hint="eastAsia" w:ascii="黑体" w:hAnsi="宋体" w:eastAsia="黑体"/>
          <w:b/>
          <w:sz w:val="28"/>
          <w:szCs w:val="28"/>
        </w:rPr>
      </w:pPr>
      <w:r>
        <w:rPr>
          <w:rFonts w:hint="eastAsia" w:ascii="黑体" w:hAnsi="宋体" w:eastAsia="黑体"/>
          <w:b/>
          <w:sz w:val="28"/>
          <w:szCs w:val="28"/>
        </w:rPr>
        <w:t>分项价格表(工程</w:t>
      </w:r>
      <w:r>
        <w:rPr>
          <w:rFonts w:hint="eastAsia" w:ascii="黑体" w:eastAsia="黑体"/>
          <w:b/>
          <w:sz w:val="28"/>
          <w:szCs w:val="28"/>
        </w:rPr>
        <w:t>类适用</w:t>
      </w:r>
      <w:r>
        <w:rPr>
          <w:rFonts w:hint="eastAsia" w:ascii="黑体" w:hAnsi="宋体" w:eastAsia="黑体"/>
          <w:b/>
          <w:sz w:val="28"/>
          <w:szCs w:val="28"/>
        </w:rPr>
        <w:t xml:space="preserve">) </w:t>
      </w:r>
    </w:p>
    <w:p w14:paraId="51C048EC">
      <w:pPr>
        <w:spacing w:line="360" w:lineRule="exact"/>
        <w:ind w:firstLine="211" w:firstLineChars="100"/>
        <w:rPr>
          <w:rFonts w:hint="eastAsia" w:ascii="楷体_GB2312" w:eastAsia="楷体_GB2312"/>
          <w:b/>
        </w:rPr>
      </w:pPr>
    </w:p>
    <w:p w14:paraId="6CF3F0C8">
      <w:pPr>
        <w:adjustRightInd w:val="0"/>
        <w:snapToGrid w:val="0"/>
        <w:rPr>
          <w:rFonts w:hint="eastAsia" w:ascii="宋体" w:hAnsi="宋体"/>
          <w:szCs w:val="21"/>
        </w:rPr>
      </w:pPr>
      <w:r>
        <w:rPr>
          <w:rFonts w:hint="eastAsia" w:ascii="宋体" w:hAnsi="宋体"/>
          <w:szCs w:val="21"/>
        </w:rPr>
        <w:t>按采购文件提供的工程量清单报价。</w:t>
      </w:r>
    </w:p>
    <w:p w14:paraId="6A2C149F">
      <w:pPr>
        <w:adjustRightInd w:val="0"/>
        <w:snapToGrid w:val="0"/>
        <w:rPr>
          <w:rFonts w:hint="eastAsia" w:ascii="宋体" w:hAnsi="宋体"/>
          <w:szCs w:val="21"/>
        </w:rPr>
      </w:pPr>
    </w:p>
    <w:p w14:paraId="27AB98B1">
      <w:pPr>
        <w:adjustRightInd w:val="0"/>
        <w:snapToGrid w:val="0"/>
        <w:rPr>
          <w:rFonts w:hint="eastAsia" w:ascii="宋体" w:hAnsi="宋体"/>
          <w:szCs w:val="21"/>
        </w:rPr>
      </w:pPr>
    </w:p>
    <w:p w14:paraId="0F8912AC">
      <w:pPr>
        <w:adjustRightInd w:val="0"/>
        <w:snapToGrid w:val="0"/>
        <w:rPr>
          <w:rFonts w:hint="eastAsia" w:ascii="宋体" w:hAnsi="宋体"/>
          <w:szCs w:val="21"/>
        </w:rPr>
      </w:pPr>
    </w:p>
    <w:p w14:paraId="1A0111A9">
      <w:pPr>
        <w:pStyle w:val="7"/>
        <w:rPr>
          <w:rFonts w:hint="eastAsia" w:ascii="宋体" w:hAnsi="宋体"/>
          <w:szCs w:val="21"/>
        </w:rPr>
      </w:pPr>
    </w:p>
    <w:p w14:paraId="5C76178E">
      <w:pPr>
        <w:pStyle w:val="7"/>
        <w:rPr>
          <w:rFonts w:hint="eastAsia" w:ascii="宋体" w:hAnsi="宋体"/>
          <w:szCs w:val="21"/>
        </w:rPr>
      </w:pPr>
    </w:p>
    <w:p w14:paraId="4A3DCAF5">
      <w:pPr>
        <w:pStyle w:val="7"/>
        <w:rPr>
          <w:rFonts w:hint="eastAsia" w:ascii="宋体" w:hAnsi="宋体"/>
          <w:szCs w:val="21"/>
        </w:rPr>
      </w:pPr>
    </w:p>
    <w:p w14:paraId="51573714">
      <w:pPr>
        <w:pStyle w:val="7"/>
        <w:rPr>
          <w:rFonts w:hint="eastAsia" w:ascii="宋体" w:hAnsi="宋体"/>
          <w:szCs w:val="21"/>
        </w:rPr>
      </w:pPr>
    </w:p>
    <w:p w14:paraId="0DE851AA">
      <w:pPr>
        <w:pStyle w:val="7"/>
        <w:rPr>
          <w:rFonts w:hint="eastAsia" w:ascii="宋体" w:hAnsi="宋体"/>
          <w:szCs w:val="21"/>
        </w:rPr>
      </w:pPr>
    </w:p>
    <w:p w14:paraId="50CAA110">
      <w:pPr>
        <w:pStyle w:val="7"/>
        <w:rPr>
          <w:rFonts w:hint="eastAsia" w:ascii="宋体" w:hAnsi="宋体"/>
          <w:szCs w:val="21"/>
        </w:rPr>
      </w:pPr>
    </w:p>
    <w:p w14:paraId="65EF0669">
      <w:pPr>
        <w:spacing w:line="360" w:lineRule="exact"/>
        <w:outlineLvl w:val="0"/>
        <w:rPr>
          <w:rFonts w:hint="eastAsia" w:ascii="宋体"/>
        </w:rPr>
      </w:pPr>
    </w:p>
    <w:p w14:paraId="30D678E3">
      <w:pPr>
        <w:rPr>
          <w:rFonts w:hint="eastAsia"/>
          <w:lang w:eastAsia="zh-CN"/>
        </w:rPr>
      </w:pPr>
      <w:bookmarkStart w:id="387" w:name="_Toc4690"/>
      <w:r>
        <w:rPr>
          <w:rFonts w:hint="eastAsia"/>
          <w:lang w:eastAsia="zh-CN"/>
        </w:rPr>
        <w:br w:type="page"/>
      </w:r>
    </w:p>
    <w:p w14:paraId="3DF02099">
      <w:pPr>
        <w:pStyle w:val="4"/>
        <w:bidi w:val="0"/>
      </w:pPr>
      <w:r>
        <w:rPr>
          <w:rFonts w:hint="eastAsia"/>
          <w:lang w:eastAsia="zh-CN"/>
        </w:rPr>
        <w:t>八</w:t>
      </w:r>
      <w:r>
        <w:rPr>
          <w:rFonts w:hint="eastAsia"/>
        </w:rPr>
        <w:t>、供应商认为需要提供的其它资料</w:t>
      </w:r>
      <w:bookmarkEnd w:id="387"/>
    </w:p>
    <w:p w14:paraId="565FC04C">
      <w:pPr>
        <w:adjustRightInd w:val="0"/>
        <w:snapToGrid w:val="0"/>
        <w:spacing w:before="156" w:beforeLines="50" w:line="240" w:lineRule="auto"/>
        <w:rPr>
          <w:rFonts w:ascii="宋体" w:hAnsi="宋体"/>
          <w:color w:val="auto"/>
        </w:rPr>
      </w:pPr>
      <w:r>
        <w:rPr>
          <w:rFonts w:hint="eastAsia" w:ascii="宋体" w:hAnsi="宋体"/>
          <w:color w:val="auto"/>
        </w:rPr>
        <w:t>注：供应商需提供的资料包括：</w:t>
      </w:r>
    </w:p>
    <w:p w14:paraId="1123B73B">
      <w:pPr>
        <w:adjustRightInd w:val="0"/>
        <w:snapToGrid w:val="0"/>
        <w:spacing w:line="240" w:lineRule="auto"/>
        <w:ind w:firstLine="420" w:firstLineChars="200"/>
        <w:rPr>
          <w:rFonts w:hint="eastAsia" w:ascii="宋体" w:hAnsi="宋体"/>
          <w:color w:val="auto"/>
          <w:lang w:val="en-US" w:eastAsia="zh-CN"/>
        </w:rPr>
      </w:pPr>
    </w:p>
    <w:p w14:paraId="15B9B511">
      <w:pPr>
        <w:adjustRightInd w:val="0"/>
        <w:snapToGrid w:val="0"/>
        <w:spacing w:line="240" w:lineRule="auto"/>
        <w:rPr>
          <w:rFonts w:hint="eastAsia" w:ascii="宋体" w:hAnsi="宋体" w:eastAsia="宋体" w:cs="宋体"/>
          <w:b/>
          <w:bCs w:val="0"/>
          <w:color w:val="auto"/>
          <w:lang w:eastAsia="zh-CN"/>
        </w:rPr>
      </w:pPr>
      <w:r>
        <w:rPr>
          <w:rFonts w:hint="eastAsia" w:ascii="宋体" w:hAnsi="宋体"/>
          <w:color w:val="auto"/>
          <w:lang w:val="en-US" w:eastAsia="zh-CN"/>
        </w:rPr>
        <w:t>1.</w:t>
      </w:r>
      <w:r>
        <w:rPr>
          <w:rFonts w:hint="eastAsia" w:ascii="宋体" w:hAnsi="宋体"/>
          <w:lang w:eastAsia="zh-CN"/>
        </w:rPr>
        <w:t>磋商</w:t>
      </w:r>
      <w:r>
        <w:rPr>
          <w:rFonts w:hint="eastAsia" w:ascii="宋体" w:hAnsi="宋体"/>
        </w:rPr>
        <w:t>文件第三章采购需求要求的其他资料</w:t>
      </w:r>
      <w:r>
        <w:rPr>
          <w:rFonts w:hint="eastAsia" w:ascii="宋体" w:hAnsi="宋体"/>
          <w:lang w:val="en-US" w:eastAsia="zh-CN"/>
        </w:rPr>
        <w:t>。</w:t>
      </w:r>
    </w:p>
    <w:p w14:paraId="5378697E">
      <w:pPr>
        <w:bidi w:val="0"/>
        <w:rPr>
          <w:rFonts w:hint="eastAsia"/>
        </w:rPr>
      </w:pPr>
      <w:r>
        <w:rPr>
          <w:rFonts w:hint="eastAsia"/>
          <w:lang w:val="en-US" w:eastAsia="zh-CN"/>
        </w:rPr>
        <w:t>2.</w:t>
      </w:r>
      <w:r>
        <w:rPr>
          <w:rFonts w:hint="eastAsia"/>
          <w:lang w:eastAsia="zh-CN"/>
        </w:rPr>
        <w:t>磋商</w:t>
      </w:r>
      <w:r>
        <w:rPr>
          <w:rFonts w:hint="eastAsia"/>
        </w:rPr>
        <w:t>文件</w:t>
      </w:r>
      <w:r>
        <w:rPr>
          <w:rFonts w:hint="eastAsia"/>
          <w:lang w:eastAsia="zh-CN"/>
        </w:rPr>
        <w:t>第五章评审方法及标准</w:t>
      </w:r>
      <w:r>
        <w:rPr>
          <w:rFonts w:hint="eastAsia"/>
        </w:rPr>
        <w:t>要求的其他相关资料。</w:t>
      </w:r>
    </w:p>
    <w:p w14:paraId="5B20A34A">
      <w:pPr>
        <w:adjustRightInd w:val="0"/>
        <w:snapToGrid w:val="0"/>
        <w:spacing w:before="156" w:beforeLines="50" w:line="360" w:lineRule="auto"/>
        <w:jc w:val="center"/>
        <w:outlineLvl w:val="0"/>
        <w:rPr>
          <w:rFonts w:hint="eastAsia" w:ascii="黑体" w:hAnsi="宋体" w:eastAsia="黑体"/>
          <w:b/>
          <w:sz w:val="32"/>
          <w:szCs w:val="32"/>
        </w:rPr>
      </w:pPr>
    </w:p>
    <w:p w14:paraId="63A9062C">
      <w:pPr>
        <w:adjustRightInd w:val="0"/>
        <w:snapToGrid w:val="0"/>
        <w:spacing w:before="156" w:beforeLines="50" w:line="360" w:lineRule="auto"/>
        <w:jc w:val="center"/>
        <w:outlineLvl w:val="0"/>
        <w:rPr>
          <w:rFonts w:hint="eastAsia" w:ascii="黑体" w:hAnsi="宋体" w:eastAsia="黑体"/>
          <w:b/>
          <w:sz w:val="32"/>
          <w:szCs w:val="32"/>
        </w:rPr>
      </w:pPr>
    </w:p>
    <w:p w14:paraId="6013F429">
      <w:pPr>
        <w:adjustRightInd w:val="0"/>
        <w:snapToGrid w:val="0"/>
        <w:spacing w:before="156" w:beforeLines="50" w:line="360" w:lineRule="auto"/>
        <w:jc w:val="center"/>
        <w:outlineLvl w:val="0"/>
        <w:rPr>
          <w:rFonts w:hint="eastAsia" w:ascii="黑体" w:hAnsi="宋体" w:eastAsia="黑体"/>
          <w:b/>
          <w:sz w:val="32"/>
          <w:szCs w:val="32"/>
        </w:rPr>
      </w:pPr>
    </w:p>
    <w:p w14:paraId="0ACA45D1">
      <w:pPr>
        <w:adjustRightInd w:val="0"/>
        <w:snapToGrid w:val="0"/>
        <w:spacing w:before="156" w:beforeLines="50" w:line="360" w:lineRule="auto"/>
        <w:jc w:val="center"/>
        <w:outlineLvl w:val="0"/>
        <w:rPr>
          <w:rFonts w:hint="eastAsia" w:ascii="黑体" w:hAnsi="宋体" w:eastAsia="黑体"/>
          <w:b/>
          <w:sz w:val="32"/>
          <w:szCs w:val="32"/>
        </w:rPr>
      </w:pPr>
    </w:p>
    <w:p w14:paraId="6879C62D">
      <w:pPr>
        <w:adjustRightInd w:val="0"/>
        <w:snapToGrid w:val="0"/>
        <w:spacing w:before="156" w:beforeLines="50" w:line="360" w:lineRule="auto"/>
        <w:jc w:val="center"/>
        <w:outlineLvl w:val="0"/>
        <w:rPr>
          <w:rFonts w:hint="eastAsia" w:ascii="黑体" w:hAnsi="宋体" w:eastAsia="黑体"/>
          <w:b/>
          <w:sz w:val="32"/>
          <w:szCs w:val="32"/>
        </w:rPr>
      </w:pPr>
    </w:p>
    <w:p w14:paraId="1F0DE562">
      <w:pPr>
        <w:adjustRightInd w:val="0"/>
        <w:snapToGrid w:val="0"/>
        <w:spacing w:before="156" w:beforeLines="50" w:line="360" w:lineRule="auto"/>
        <w:jc w:val="center"/>
        <w:outlineLvl w:val="0"/>
        <w:rPr>
          <w:rFonts w:hint="eastAsia" w:ascii="黑体" w:hAnsi="宋体" w:eastAsia="黑体"/>
          <w:b/>
          <w:sz w:val="32"/>
          <w:szCs w:val="32"/>
        </w:rPr>
      </w:pPr>
    </w:p>
    <w:p w14:paraId="5B1F0DFE">
      <w:pPr>
        <w:adjustRightInd w:val="0"/>
        <w:snapToGrid w:val="0"/>
        <w:spacing w:before="156" w:beforeLines="50" w:line="360" w:lineRule="auto"/>
        <w:jc w:val="center"/>
        <w:outlineLvl w:val="0"/>
        <w:rPr>
          <w:rFonts w:hint="eastAsia" w:ascii="黑体" w:hAnsi="宋体" w:eastAsia="黑体"/>
          <w:b/>
          <w:sz w:val="32"/>
          <w:szCs w:val="32"/>
        </w:rPr>
      </w:pPr>
    </w:p>
    <w:p w14:paraId="4D666B20">
      <w:pPr>
        <w:adjustRightInd w:val="0"/>
        <w:snapToGrid w:val="0"/>
        <w:spacing w:before="156" w:beforeLines="50" w:line="360" w:lineRule="auto"/>
        <w:jc w:val="center"/>
        <w:outlineLvl w:val="0"/>
        <w:rPr>
          <w:rFonts w:hint="eastAsia" w:ascii="黑体" w:hAnsi="宋体" w:eastAsia="黑体"/>
          <w:b/>
          <w:sz w:val="32"/>
          <w:szCs w:val="32"/>
        </w:rPr>
      </w:pPr>
    </w:p>
    <w:p w14:paraId="6BE6BB5A">
      <w:pPr>
        <w:adjustRightInd w:val="0"/>
        <w:snapToGrid w:val="0"/>
        <w:spacing w:before="156" w:beforeLines="50" w:line="360" w:lineRule="auto"/>
        <w:jc w:val="center"/>
        <w:outlineLvl w:val="0"/>
        <w:rPr>
          <w:rFonts w:hint="eastAsia" w:ascii="黑体" w:hAnsi="宋体" w:eastAsia="黑体"/>
          <w:b/>
          <w:sz w:val="32"/>
          <w:szCs w:val="32"/>
        </w:rPr>
      </w:pPr>
    </w:p>
    <w:p w14:paraId="180E9E56">
      <w:pPr>
        <w:adjustRightInd w:val="0"/>
        <w:snapToGrid w:val="0"/>
        <w:spacing w:before="156" w:beforeLines="50" w:line="360" w:lineRule="auto"/>
        <w:jc w:val="center"/>
        <w:outlineLvl w:val="0"/>
        <w:rPr>
          <w:rFonts w:hint="eastAsia" w:ascii="黑体" w:hAnsi="宋体" w:eastAsia="黑体"/>
          <w:b/>
          <w:sz w:val="32"/>
          <w:szCs w:val="32"/>
        </w:rPr>
      </w:pPr>
    </w:p>
    <w:p w14:paraId="3580F4B7">
      <w:pPr>
        <w:adjustRightInd w:val="0"/>
        <w:snapToGrid w:val="0"/>
        <w:spacing w:before="156" w:beforeLines="50" w:line="360" w:lineRule="auto"/>
        <w:jc w:val="center"/>
        <w:outlineLvl w:val="0"/>
        <w:rPr>
          <w:rFonts w:hint="eastAsia" w:ascii="黑体" w:hAnsi="宋体" w:eastAsia="黑体"/>
          <w:b/>
          <w:sz w:val="32"/>
          <w:szCs w:val="32"/>
        </w:rPr>
      </w:pPr>
    </w:p>
    <w:p w14:paraId="1A06982B">
      <w:pPr>
        <w:adjustRightInd w:val="0"/>
        <w:snapToGrid w:val="0"/>
        <w:spacing w:before="156" w:beforeLines="50" w:line="360" w:lineRule="auto"/>
        <w:jc w:val="center"/>
        <w:outlineLvl w:val="0"/>
        <w:rPr>
          <w:rFonts w:hint="eastAsia" w:ascii="黑体" w:hAnsi="宋体" w:eastAsia="黑体"/>
          <w:b/>
          <w:sz w:val="32"/>
          <w:szCs w:val="32"/>
        </w:rPr>
      </w:pPr>
    </w:p>
    <w:p w14:paraId="38D80B54">
      <w:pPr>
        <w:adjustRightInd w:val="0"/>
        <w:snapToGrid w:val="0"/>
        <w:spacing w:before="156" w:beforeLines="50" w:line="360" w:lineRule="auto"/>
        <w:jc w:val="center"/>
        <w:outlineLvl w:val="0"/>
        <w:rPr>
          <w:rFonts w:hint="eastAsia" w:ascii="黑体" w:hAnsi="宋体" w:eastAsia="黑体"/>
          <w:b/>
          <w:sz w:val="32"/>
          <w:szCs w:val="32"/>
        </w:rPr>
      </w:pPr>
    </w:p>
    <w:p w14:paraId="7097AAB2">
      <w:pPr>
        <w:rPr>
          <w:rFonts w:hint="eastAsia"/>
          <w:lang w:eastAsia="zh-CN"/>
        </w:rPr>
      </w:pPr>
      <w:bookmarkStart w:id="388" w:name="_Toc4353"/>
      <w:bookmarkStart w:id="389" w:name="_Toc25362"/>
      <w:bookmarkStart w:id="390" w:name="_Toc16946"/>
      <w:r>
        <w:rPr>
          <w:rFonts w:hint="eastAsia"/>
          <w:lang w:eastAsia="zh-CN"/>
        </w:rPr>
        <w:br w:type="page"/>
      </w:r>
    </w:p>
    <w:p w14:paraId="16813480">
      <w:pPr>
        <w:pStyle w:val="4"/>
        <w:bidi w:val="0"/>
        <w:rPr>
          <w:rFonts w:hint="eastAsia"/>
        </w:rPr>
      </w:pPr>
      <w:bookmarkStart w:id="391" w:name="_Toc20564"/>
      <w:r>
        <w:rPr>
          <w:rFonts w:hint="eastAsia"/>
          <w:lang w:eastAsia="zh-CN"/>
        </w:rPr>
        <w:t>九</w:t>
      </w:r>
      <w:r>
        <w:rPr>
          <w:rFonts w:hint="eastAsia"/>
        </w:rPr>
        <w:t>、最后报价</w:t>
      </w:r>
      <w:bookmarkEnd w:id="388"/>
      <w:bookmarkEnd w:id="389"/>
      <w:bookmarkEnd w:id="390"/>
      <w:bookmarkEnd w:id="391"/>
    </w:p>
    <w:p w14:paraId="479D7E20">
      <w:pPr>
        <w:adjustRightInd w:val="0"/>
        <w:snapToGrid w:val="0"/>
        <w:ind w:left="-88" w:leftChars="-42"/>
        <w:rPr>
          <w:rFonts w:hint="eastAsia" w:ascii="宋体" w:hAnsi="宋体"/>
          <w:szCs w:val="21"/>
        </w:rPr>
      </w:pPr>
    </w:p>
    <w:p w14:paraId="41B95EDC">
      <w:pPr>
        <w:jc w:val="center"/>
        <w:rPr>
          <w:rFonts w:ascii="黑体" w:hAnsi="宋体" w:eastAsia="黑体"/>
          <w:sz w:val="30"/>
          <w:szCs w:val="30"/>
        </w:rPr>
      </w:pPr>
      <w:r>
        <w:rPr>
          <w:rFonts w:hint="eastAsia" w:ascii="黑体" w:hAnsi="宋体" w:eastAsia="黑体"/>
          <w:bCs/>
          <w:sz w:val="30"/>
          <w:szCs w:val="30"/>
        </w:rPr>
        <w:t>报价一览表（</w:t>
      </w:r>
      <w:r>
        <w:rPr>
          <w:rFonts w:hint="eastAsia" w:ascii="黑体" w:hAnsi="宋体" w:eastAsia="黑体"/>
          <w:bCs/>
          <w:sz w:val="30"/>
          <w:szCs w:val="30"/>
          <w:lang w:eastAsia="zh-CN"/>
        </w:rPr>
        <w:t>工程</w:t>
      </w:r>
      <w:r>
        <w:rPr>
          <w:rFonts w:hint="eastAsia" w:ascii="黑体" w:hAnsi="宋体" w:eastAsia="黑体"/>
          <w:sz w:val="30"/>
          <w:szCs w:val="30"/>
        </w:rPr>
        <w:t>类适用）</w:t>
      </w:r>
    </w:p>
    <w:p w14:paraId="4B9FC2CF">
      <w:pPr>
        <w:adjustRightInd w:val="0"/>
        <w:snapToGrid w:val="0"/>
        <w:rPr>
          <w:rFonts w:hint="eastAsia" w:ascii="黑体" w:hAnsi="宋体" w:eastAsia="黑体"/>
          <w:sz w:val="24"/>
        </w:rPr>
      </w:pPr>
    </w:p>
    <w:tbl>
      <w:tblPr>
        <w:tblStyle w:val="2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303"/>
        <w:gridCol w:w="3097"/>
        <w:gridCol w:w="1573"/>
        <w:gridCol w:w="1785"/>
      </w:tblGrid>
      <w:tr w14:paraId="1603FF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210" w:hRule="atLeast"/>
          <w:jc w:val="center"/>
        </w:trPr>
        <w:tc>
          <w:tcPr>
            <w:tcW w:w="2303" w:type="dxa"/>
            <w:tcBorders>
              <w:top w:val="double" w:color="auto" w:sz="4" w:space="0"/>
              <w:bottom w:val="single" w:color="auto" w:sz="6" w:space="0"/>
              <w:right w:val="single" w:color="auto" w:sz="6" w:space="0"/>
            </w:tcBorders>
            <w:noWrap w:val="0"/>
            <w:vAlign w:val="center"/>
          </w:tcPr>
          <w:p w14:paraId="36AE415B">
            <w:pPr>
              <w:jc w:val="center"/>
              <w:rPr>
                <w:rFonts w:hint="eastAsia" w:ascii="宋体" w:hAnsi="宋体"/>
                <w:color w:val="auto"/>
                <w:szCs w:val="21"/>
                <w:highlight w:val="none"/>
              </w:rPr>
            </w:pPr>
            <w:r>
              <w:rPr>
                <w:rFonts w:ascii="宋体" w:hAnsi="宋体"/>
                <w:color w:val="auto"/>
                <w:szCs w:val="21"/>
                <w:highlight w:val="none"/>
              </w:rPr>
              <w:t>项目</w:t>
            </w:r>
            <w:r>
              <w:rPr>
                <w:rFonts w:hint="eastAsia" w:ascii="宋体" w:hAnsi="宋体"/>
                <w:color w:val="auto"/>
                <w:szCs w:val="21"/>
                <w:highlight w:val="none"/>
              </w:rPr>
              <w:t>名称</w:t>
            </w:r>
          </w:p>
        </w:tc>
        <w:tc>
          <w:tcPr>
            <w:tcW w:w="3097" w:type="dxa"/>
            <w:tcBorders>
              <w:top w:val="double" w:color="auto" w:sz="4" w:space="0"/>
              <w:left w:val="single" w:color="auto" w:sz="6" w:space="0"/>
              <w:bottom w:val="single" w:color="auto" w:sz="6" w:space="0"/>
              <w:right w:val="single" w:color="auto" w:sz="6" w:space="0"/>
            </w:tcBorders>
            <w:noWrap w:val="0"/>
            <w:vAlign w:val="center"/>
          </w:tcPr>
          <w:p w14:paraId="4BB4DDDC">
            <w:pPr>
              <w:jc w:val="center"/>
              <w:rPr>
                <w:rFonts w:hint="eastAsia" w:ascii="宋体" w:hAnsi="宋体"/>
                <w:color w:val="auto"/>
                <w:szCs w:val="21"/>
                <w:highlight w:val="none"/>
              </w:rPr>
            </w:pPr>
          </w:p>
        </w:tc>
        <w:tc>
          <w:tcPr>
            <w:tcW w:w="1573" w:type="dxa"/>
            <w:tcBorders>
              <w:top w:val="double" w:color="auto" w:sz="4" w:space="0"/>
              <w:left w:val="single" w:color="auto" w:sz="6" w:space="0"/>
              <w:right w:val="single" w:color="auto" w:sz="6" w:space="0"/>
            </w:tcBorders>
            <w:noWrap w:val="0"/>
            <w:vAlign w:val="center"/>
          </w:tcPr>
          <w:p w14:paraId="4F9043A0">
            <w:pPr>
              <w:jc w:val="center"/>
              <w:rPr>
                <w:rFonts w:hint="eastAsia" w:ascii="宋体" w:hAnsi="宋体"/>
                <w:color w:val="auto"/>
                <w:szCs w:val="21"/>
                <w:highlight w:val="none"/>
              </w:rPr>
            </w:pPr>
            <w:r>
              <w:rPr>
                <w:rFonts w:hint="eastAsia" w:ascii="宋体" w:hAnsi="宋体"/>
                <w:color w:val="auto"/>
                <w:szCs w:val="21"/>
                <w:highlight w:val="none"/>
              </w:rPr>
              <w:t>采购代理</w:t>
            </w:r>
            <w:r>
              <w:rPr>
                <w:rFonts w:ascii="宋体" w:hAnsi="宋体"/>
                <w:color w:val="auto"/>
                <w:szCs w:val="21"/>
                <w:highlight w:val="none"/>
              </w:rPr>
              <w:t>编号</w:t>
            </w:r>
          </w:p>
        </w:tc>
        <w:tc>
          <w:tcPr>
            <w:tcW w:w="1785" w:type="dxa"/>
            <w:tcBorders>
              <w:top w:val="double" w:color="auto" w:sz="4" w:space="0"/>
              <w:left w:val="single" w:color="auto" w:sz="6" w:space="0"/>
              <w:bottom w:val="single" w:color="auto" w:sz="6" w:space="0"/>
            </w:tcBorders>
            <w:noWrap w:val="0"/>
            <w:vAlign w:val="center"/>
          </w:tcPr>
          <w:p w14:paraId="40B70F55">
            <w:pPr>
              <w:jc w:val="center"/>
              <w:rPr>
                <w:rFonts w:hint="eastAsia" w:ascii="宋体" w:hAnsi="宋体"/>
                <w:color w:val="auto"/>
                <w:szCs w:val="21"/>
                <w:highlight w:val="none"/>
              </w:rPr>
            </w:pPr>
            <w:r>
              <w:rPr>
                <w:rFonts w:hint="eastAsia" w:ascii="宋体" w:hAnsi="宋体"/>
                <w:color w:val="auto"/>
                <w:szCs w:val="21"/>
                <w:highlight w:val="none"/>
              </w:rPr>
              <w:t xml:space="preserve">    </w:t>
            </w:r>
          </w:p>
        </w:tc>
      </w:tr>
      <w:tr w14:paraId="6A8BB0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68" w:hRule="atLeast"/>
          <w:jc w:val="center"/>
        </w:trPr>
        <w:tc>
          <w:tcPr>
            <w:tcW w:w="2303" w:type="dxa"/>
            <w:tcBorders>
              <w:top w:val="single" w:color="auto" w:sz="6" w:space="0"/>
              <w:bottom w:val="single" w:color="auto" w:sz="6" w:space="0"/>
            </w:tcBorders>
            <w:noWrap w:val="0"/>
            <w:vAlign w:val="center"/>
          </w:tcPr>
          <w:p w14:paraId="35FCEDA5">
            <w:pPr>
              <w:jc w:val="center"/>
              <w:rPr>
                <w:rFonts w:hint="eastAsia" w:ascii="宋体" w:hAnsi="宋体"/>
                <w:color w:val="auto"/>
                <w:szCs w:val="21"/>
                <w:highlight w:val="none"/>
              </w:rPr>
            </w:pPr>
            <w:r>
              <w:rPr>
                <w:rFonts w:hint="eastAsia" w:ascii="宋体" w:hAnsi="宋体"/>
                <w:color w:val="auto"/>
                <w:szCs w:val="21"/>
                <w:highlight w:val="none"/>
              </w:rPr>
              <w:t>报价</w:t>
            </w:r>
          </w:p>
        </w:tc>
        <w:tc>
          <w:tcPr>
            <w:tcW w:w="6455" w:type="dxa"/>
            <w:gridSpan w:val="3"/>
            <w:tcBorders>
              <w:top w:val="single" w:color="auto" w:sz="6" w:space="0"/>
              <w:bottom w:val="single" w:color="auto" w:sz="6" w:space="0"/>
            </w:tcBorders>
            <w:noWrap w:val="0"/>
            <w:vAlign w:val="center"/>
          </w:tcPr>
          <w:p w14:paraId="4B5F7205">
            <w:pPr>
              <w:rPr>
                <w:rFonts w:hint="eastAsia" w:ascii="宋体" w:hAnsi="宋体"/>
                <w:color w:val="auto"/>
                <w:szCs w:val="21"/>
                <w:highlight w:val="none"/>
              </w:rPr>
            </w:pPr>
            <w:r>
              <w:rPr>
                <w:rFonts w:hint="eastAsia" w:ascii="宋体" w:hAnsi="宋体"/>
                <w:color w:val="auto"/>
                <w:szCs w:val="21"/>
                <w:highlight w:val="none"/>
              </w:rPr>
              <w:t>大写：</w:t>
            </w:r>
            <w:r>
              <w:rPr>
                <w:rFonts w:hint="eastAsia" w:ascii="宋体" w:hAnsi="宋体"/>
                <w:color w:val="auto"/>
                <w:szCs w:val="21"/>
                <w:highlight w:val="none"/>
                <w:u w:val="single"/>
              </w:rPr>
              <w:t xml:space="preserve">                    </w:t>
            </w:r>
            <w:r>
              <w:rPr>
                <w:rFonts w:hint="eastAsia" w:ascii="宋体" w:hAnsi="宋体"/>
                <w:color w:val="auto"/>
                <w:szCs w:val="21"/>
                <w:highlight w:val="none"/>
              </w:rPr>
              <w:t>元人民币整</w:t>
            </w:r>
          </w:p>
          <w:p w14:paraId="515D2AFE">
            <w:pPr>
              <w:rPr>
                <w:rFonts w:hint="eastAsia" w:ascii="宋体" w:hAnsi="宋体"/>
                <w:color w:val="auto"/>
                <w:szCs w:val="21"/>
                <w:highlight w:val="none"/>
              </w:rPr>
            </w:pPr>
            <w:r>
              <w:rPr>
                <w:rFonts w:hint="eastAsia" w:ascii="宋体" w:hAnsi="宋体"/>
                <w:color w:val="auto"/>
                <w:szCs w:val="21"/>
                <w:highlight w:val="none"/>
              </w:rPr>
              <w:t>小写：</w:t>
            </w:r>
            <w:r>
              <w:rPr>
                <w:rFonts w:hint="eastAsia" w:ascii="宋体" w:hAnsi="宋体"/>
                <w:color w:val="auto"/>
                <w:szCs w:val="21"/>
                <w:highlight w:val="none"/>
                <w:u w:val="single"/>
              </w:rPr>
              <w:t xml:space="preserve">                    </w:t>
            </w:r>
            <w:r>
              <w:rPr>
                <w:rFonts w:hint="eastAsia" w:ascii="宋体" w:hAnsi="宋体"/>
                <w:color w:val="auto"/>
                <w:szCs w:val="21"/>
                <w:highlight w:val="none"/>
              </w:rPr>
              <w:t>元人民币整</w:t>
            </w:r>
          </w:p>
        </w:tc>
      </w:tr>
      <w:tr w14:paraId="48E895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303" w:type="dxa"/>
            <w:tcBorders>
              <w:top w:val="single" w:color="auto" w:sz="6" w:space="0"/>
              <w:bottom w:val="single" w:color="auto" w:sz="6" w:space="0"/>
            </w:tcBorders>
            <w:noWrap w:val="0"/>
            <w:vAlign w:val="center"/>
          </w:tcPr>
          <w:p w14:paraId="4BBEC2EA">
            <w:pPr>
              <w:jc w:val="center"/>
              <w:rPr>
                <w:rFonts w:hint="eastAsia" w:ascii="宋体" w:hAnsi="宋体"/>
                <w:color w:val="auto"/>
                <w:szCs w:val="21"/>
                <w:highlight w:val="none"/>
              </w:rPr>
            </w:pPr>
            <w:r>
              <w:rPr>
                <w:rFonts w:hint="eastAsia" w:ascii="宋体" w:hAnsi="宋体"/>
                <w:color w:val="auto"/>
                <w:szCs w:val="21"/>
                <w:highlight w:val="none"/>
              </w:rPr>
              <w:t>工期</w:t>
            </w:r>
          </w:p>
        </w:tc>
        <w:tc>
          <w:tcPr>
            <w:tcW w:w="6455" w:type="dxa"/>
            <w:gridSpan w:val="3"/>
            <w:tcBorders>
              <w:top w:val="single" w:color="auto" w:sz="6" w:space="0"/>
              <w:bottom w:val="single" w:color="auto" w:sz="6" w:space="0"/>
            </w:tcBorders>
            <w:noWrap w:val="0"/>
            <w:vAlign w:val="center"/>
          </w:tcPr>
          <w:p w14:paraId="28FF5E88">
            <w:pPr>
              <w:jc w:val="center"/>
              <w:rPr>
                <w:rFonts w:hint="eastAsia" w:ascii="宋体" w:hAnsi="宋体"/>
                <w:color w:val="auto"/>
                <w:szCs w:val="21"/>
                <w:highlight w:val="none"/>
              </w:rPr>
            </w:pPr>
          </w:p>
        </w:tc>
      </w:tr>
      <w:tr w14:paraId="34A136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303" w:type="dxa"/>
            <w:tcBorders>
              <w:top w:val="single" w:color="auto" w:sz="6" w:space="0"/>
              <w:bottom w:val="single" w:color="auto" w:sz="6" w:space="0"/>
            </w:tcBorders>
            <w:noWrap w:val="0"/>
            <w:vAlign w:val="center"/>
          </w:tcPr>
          <w:p w14:paraId="2CAE3235">
            <w:pPr>
              <w:jc w:val="center"/>
              <w:rPr>
                <w:rFonts w:hint="eastAsia" w:ascii="宋体" w:hAnsi="宋体"/>
                <w:color w:val="auto"/>
                <w:szCs w:val="21"/>
                <w:highlight w:val="none"/>
              </w:rPr>
            </w:pPr>
            <w:r>
              <w:rPr>
                <w:rFonts w:hint="eastAsia" w:ascii="宋体" w:hAnsi="宋体"/>
                <w:color w:val="auto"/>
                <w:szCs w:val="21"/>
                <w:highlight w:val="none"/>
              </w:rPr>
              <w:t>项目负责人</w:t>
            </w:r>
          </w:p>
        </w:tc>
        <w:tc>
          <w:tcPr>
            <w:tcW w:w="6455" w:type="dxa"/>
            <w:gridSpan w:val="3"/>
            <w:tcBorders>
              <w:top w:val="single" w:color="auto" w:sz="6" w:space="0"/>
              <w:bottom w:val="single" w:color="auto" w:sz="6" w:space="0"/>
            </w:tcBorders>
            <w:noWrap w:val="0"/>
            <w:vAlign w:val="center"/>
          </w:tcPr>
          <w:p w14:paraId="46544B40">
            <w:pPr>
              <w:jc w:val="center"/>
              <w:rPr>
                <w:rFonts w:hint="eastAsia" w:ascii="宋体" w:hAnsi="宋体"/>
                <w:color w:val="auto"/>
                <w:szCs w:val="21"/>
                <w:highlight w:val="none"/>
              </w:rPr>
            </w:pPr>
          </w:p>
        </w:tc>
      </w:tr>
      <w:tr w14:paraId="4378A9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45" w:hRule="atLeast"/>
          <w:jc w:val="center"/>
        </w:trPr>
        <w:tc>
          <w:tcPr>
            <w:tcW w:w="2303" w:type="dxa"/>
            <w:tcBorders>
              <w:top w:val="single" w:color="auto" w:sz="6" w:space="0"/>
              <w:bottom w:val="double" w:color="auto" w:sz="4" w:space="0"/>
            </w:tcBorders>
            <w:noWrap w:val="0"/>
            <w:vAlign w:val="center"/>
          </w:tcPr>
          <w:p w14:paraId="423886D9">
            <w:pPr>
              <w:jc w:val="center"/>
              <w:rPr>
                <w:rFonts w:hint="eastAsia" w:ascii="宋体" w:hAnsi="宋体"/>
                <w:color w:val="auto"/>
                <w:szCs w:val="21"/>
                <w:highlight w:val="none"/>
              </w:rPr>
            </w:pPr>
            <w:r>
              <w:rPr>
                <w:rFonts w:ascii="宋体" w:hAnsi="宋体"/>
                <w:color w:val="auto"/>
                <w:szCs w:val="21"/>
                <w:highlight w:val="none"/>
              </w:rPr>
              <w:t>备  注</w:t>
            </w:r>
          </w:p>
        </w:tc>
        <w:tc>
          <w:tcPr>
            <w:tcW w:w="6455" w:type="dxa"/>
            <w:gridSpan w:val="3"/>
            <w:tcBorders>
              <w:top w:val="single" w:color="auto" w:sz="6" w:space="0"/>
              <w:bottom w:val="double" w:color="auto" w:sz="4" w:space="0"/>
            </w:tcBorders>
            <w:noWrap w:val="0"/>
            <w:vAlign w:val="center"/>
          </w:tcPr>
          <w:p w14:paraId="51B71F86">
            <w:pPr>
              <w:jc w:val="center"/>
              <w:rPr>
                <w:rFonts w:hint="eastAsia" w:ascii="宋体" w:hAnsi="宋体"/>
                <w:color w:val="auto"/>
                <w:szCs w:val="21"/>
                <w:highlight w:val="none"/>
              </w:rPr>
            </w:pPr>
          </w:p>
        </w:tc>
      </w:tr>
    </w:tbl>
    <w:p w14:paraId="7E0C5092">
      <w:pPr>
        <w:adjustRightInd w:val="0"/>
        <w:snapToGrid w:val="0"/>
        <w:spacing w:line="360" w:lineRule="auto"/>
        <w:ind w:left="-88" w:leftChars="-42"/>
        <w:rPr>
          <w:rFonts w:hint="eastAsia" w:ascii="宋体" w:hAnsi="宋体"/>
          <w:szCs w:val="21"/>
        </w:rPr>
      </w:pPr>
    </w:p>
    <w:p w14:paraId="716584EA">
      <w:pPr>
        <w:adjustRightInd w:val="0"/>
        <w:snapToGrid w:val="0"/>
        <w:spacing w:line="360" w:lineRule="auto"/>
        <w:rPr>
          <w:rFonts w:hint="eastAsia" w:ascii="宋体" w:hAnsi="宋体"/>
          <w:szCs w:val="21"/>
        </w:rPr>
      </w:pPr>
      <w:r>
        <w:rPr>
          <w:rFonts w:hint="eastAsia" w:ascii="宋体" w:hAnsi="宋体"/>
          <w:szCs w:val="21"/>
        </w:rPr>
        <w:t>供应商（盖单位章）：</w:t>
      </w:r>
    </w:p>
    <w:p w14:paraId="231A7AB6">
      <w:pPr>
        <w:adjustRightInd w:val="0"/>
        <w:snapToGrid w:val="0"/>
        <w:spacing w:line="360" w:lineRule="auto"/>
        <w:rPr>
          <w:rFonts w:hint="eastAsia" w:ascii="宋体" w:hAnsi="宋体"/>
          <w:szCs w:val="21"/>
        </w:rPr>
      </w:pPr>
      <w:r>
        <w:rPr>
          <w:rFonts w:hint="eastAsia" w:ascii="宋体" w:hAnsi="宋体"/>
          <w:szCs w:val="21"/>
        </w:rPr>
        <w:t>法定代表人或其委托代理人签字：</w:t>
      </w:r>
      <w:r>
        <w:rPr>
          <w:rFonts w:hint="eastAsia" w:ascii="宋体" w:hAnsi="宋体"/>
          <w:szCs w:val="21"/>
          <w:u w:val="single"/>
        </w:rPr>
        <w:t xml:space="preserve">       </w:t>
      </w:r>
    </w:p>
    <w:p w14:paraId="490E2717">
      <w:pPr>
        <w:adjustRightInd w:val="0"/>
        <w:snapToGrid w:val="0"/>
        <w:spacing w:line="360" w:lineRule="auto"/>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BA21336">
      <w:pPr>
        <w:adjustRightInd w:val="0"/>
        <w:snapToGrid w:val="0"/>
        <w:spacing w:line="360" w:lineRule="auto"/>
        <w:rPr>
          <w:rFonts w:hint="eastAsia" w:ascii="宋体" w:hAnsi="宋体"/>
          <w:szCs w:val="21"/>
        </w:rPr>
      </w:pPr>
    </w:p>
    <w:p w14:paraId="764D561A">
      <w:pPr>
        <w:adjustRightInd w:val="0"/>
        <w:snapToGrid w:val="0"/>
        <w:spacing w:line="360" w:lineRule="auto"/>
        <w:rPr>
          <w:rFonts w:hint="eastAsia" w:ascii="宋体" w:hAnsi="宋体"/>
          <w:szCs w:val="21"/>
        </w:rPr>
      </w:pPr>
    </w:p>
    <w:p w14:paraId="3DC37C1B">
      <w:pPr>
        <w:ind w:firstLine="422"/>
        <w:rPr>
          <w:rFonts w:ascii="宋体" w:hAnsi="宋体" w:cs="宋体"/>
          <w:bCs/>
          <w:color w:val="auto"/>
          <w:kern w:val="1"/>
          <w:szCs w:val="21"/>
          <w:highlight w:val="none"/>
        </w:rPr>
      </w:pPr>
      <w:r>
        <w:rPr>
          <w:rFonts w:ascii="宋体" w:hAnsi="宋体" w:cs="宋体"/>
          <w:bCs/>
          <w:color w:val="auto"/>
          <w:kern w:val="1"/>
          <w:szCs w:val="21"/>
          <w:highlight w:val="none"/>
        </w:rPr>
        <w:t>说明：</w:t>
      </w:r>
    </w:p>
    <w:p w14:paraId="791EF066">
      <w:pPr>
        <w:ind w:firstLine="420" w:firstLineChars="200"/>
        <w:rPr>
          <w:rFonts w:hint="eastAsia" w:ascii="宋体" w:hAnsi="宋体"/>
          <w:bCs/>
          <w:color w:val="auto"/>
          <w:szCs w:val="21"/>
          <w:highlight w:val="none"/>
        </w:rPr>
      </w:pPr>
      <w:r>
        <w:rPr>
          <w:rFonts w:hint="eastAsia" w:ascii="宋体" w:hAnsi="宋体"/>
          <w:bCs/>
          <w:color w:val="auto"/>
          <w:szCs w:val="21"/>
          <w:highlight w:val="none"/>
          <w:lang w:val="en-US" w:eastAsia="zh-CN"/>
        </w:rPr>
        <w:t>1</w:t>
      </w:r>
      <w:r>
        <w:rPr>
          <w:rFonts w:hint="eastAsia" w:ascii="宋体" w:hAnsi="宋体"/>
          <w:bCs/>
          <w:color w:val="auto"/>
          <w:szCs w:val="21"/>
          <w:highlight w:val="none"/>
        </w:rPr>
        <w:t>、</w:t>
      </w:r>
      <w:r>
        <w:rPr>
          <w:rFonts w:hint="eastAsia" w:ascii="宋体" w:hAnsi="宋体" w:cs="宋体"/>
          <w:bCs/>
          <w:color w:val="auto"/>
          <w:highlight w:val="none"/>
        </w:rPr>
        <w:t>供应商提交的最后报价不得超过（小于等于）第一轮报价，否则将被视为无效报价，作无效投标处理</w:t>
      </w:r>
      <w:r>
        <w:rPr>
          <w:rFonts w:hint="eastAsia" w:ascii="宋体" w:hAnsi="宋体"/>
          <w:bCs/>
          <w:color w:val="auto"/>
          <w:szCs w:val="21"/>
          <w:highlight w:val="none"/>
        </w:rPr>
        <w:t>。</w:t>
      </w:r>
    </w:p>
    <w:p w14:paraId="4C2FE7BE">
      <w:pPr>
        <w:ind w:firstLine="420" w:firstLineChars="200"/>
        <w:rPr>
          <w:color w:val="auto"/>
          <w:highlight w:val="none"/>
        </w:rPr>
      </w:pPr>
      <w:r>
        <w:rPr>
          <w:rFonts w:hint="eastAsia" w:ascii="宋体" w:hAnsi="宋体"/>
          <w:bCs/>
          <w:color w:val="auto"/>
          <w:sz w:val="21"/>
          <w:szCs w:val="21"/>
          <w:highlight w:val="none"/>
          <w:lang w:val="en-US" w:eastAsia="zh-CN"/>
        </w:rPr>
        <w:t>2</w:t>
      </w:r>
      <w:r>
        <w:rPr>
          <w:rFonts w:hint="eastAsia" w:ascii="宋体" w:hAnsi="宋体"/>
          <w:bCs/>
          <w:color w:val="auto"/>
          <w:sz w:val="21"/>
          <w:szCs w:val="21"/>
          <w:highlight w:val="none"/>
        </w:rPr>
        <w:t>、最后报价磋商时自行准备，不封装在响应文件中。</w:t>
      </w:r>
    </w:p>
    <w:p w14:paraId="19AD35C7">
      <w:pPr>
        <w:keepNext w:val="0"/>
        <w:keepLines w:val="0"/>
        <w:widowControl/>
        <w:suppressLineNumbers w:val="0"/>
        <w:jc w:val="both"/>
        <w:textAlignment w:val="center"/>
        <w:rPr>
          <w:rFonts w:hint="eastAsia" w:ascii="宋体" w:hAnsi="宋体" w:eastAsia="宋体" w:cs="宋体"/>
          <w:b/>
          <w:i w:val="0"/>
          <w:color w:val="000000"/>
          <w:kern w:val="0"/>
          <w:sz w:val="52"/>
          <w:szCs w:val="52"/>
          <w:u w:val="none"/>
          <w:lang w:val="en-US" w:eastAsia="zh-CN" w:bidi="ar"/>
        </w:rPr>
        <w:sectPr>
          <w:pgSz w:w="11906" w:h="16838"/>
          <w:pgMar w:top="1440" w:right="1800" w:bottom="1440" w:left="1800" w:header="851" w:footer="992" w:gutter="0"/>
          <w:pgNumType w:fmt="decimal"/>
          <w:cols w:space="720" w:num="1"/>
          <w:docGrid w:type="lines" w:linePitch="312" w:charSpace="0"/>
        </w:sectPr>
      </w:pPr>
    </w:p>
    <w:p w14:paraId="0C37787E">
      <w:pPr>
        <w:pStyle w:val="3"/>
        <w:bidi w:val="0"/>
      </w:pPr>
      <w:bookmarkStart w:id="392" w:name="_Toc10344"/>
      <w:bookmarkStart w:id="393" w:name="_Toc11603"/>
      <w:r>
        <w:rPr>
          <w:rFonts w:hint="eastAsia"/>
          <w:lang w:val="en-US" w:eastAsia="zh-CN"/>
        </w:rPr>
        <w:t>第七章 工程量清单</w:t>
      </w:r>
      <w:bookmarkEnd w:id="392"/>
      <w:bookmarkEnd w:id="393"/>
    </w:p>
    <w:p w14:paraId="3807F363">
      <w:pPr>
        <w:pStyle w:val="21"/>
        <w:ind w:left="0" w:leftChars="0" w:firstLine="0" w:firstLineChars="0"/>
        <w:jc w:val="both"/>
        <w:rPr>
          <w:rFonts w:hint="eastAsia"/>
        </w:rPr>
      </w:pPr>
    </w:p>
    <w:p w14:paraId="6299EB6E">
      <w:pPr>
        <w:pStyle w:val="21"/>
        <w:ind w:left="0" w:leftChars="0" w:firstLine="0" w:firstLineChars="0"/>
        <w:jc w:val="center"/>
        <w:rPr>
          <w:rFonts w:hint="default" w:ascii="宋体" w:hAnsi="宋体" w:eastAsia="宋体"/>
          <w:sz w:val="32"/>
          <w:szCs w:val="32"/>
          <w:lang w:val="en-US" w:eastAsia="zh-CN"/>
        </w:rPr>
      </w:pPr>
      <w:r>
        <w:rPr>
          <w:rFonts w:hint="eastAsia"/>
          <w:sz w:val="32"/>
          <w:szCs w:val="32"/>
          <w:lang w:val="en-US" w:eastAsia="zh-CN"/>
        </w:rPr>
        <w:t>另附</w:t>
      </w:r>
    </w:p>
    <w:sectPr>
      <w:footerReference r:id="rId8"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21065B49-2FB2-47EE-8E65-26A9E974C773}"/>
  </w:font>
  <w:font w:name="Arial">
    <w:panose1 w:val="020B0604020202020204"/>
    <w:charset w:val="01"/>
    <w:family w:val="swiss"/>
    <w:pitch w:val="default"/>
    <w:sig w:usb0="E0002EFF" w:usb1="C000785B" w:usb2="00000009" w:usb3="00000000" w:csb0="400001FF" w:csb1="FFFF0000"/>
    <w:embedRegular r:id="rId2" w:fontKey="{870BFA6E-BEF7-45D4-8D81-09DD6273BF8C}"/>
  </w:font>
  <w:font w:name="黑体">
    <w:panose1 w:val="02010609060101010101"/>
    <w:charset w:val="86"/>
    <w:family w:val="auto"/>
    <w:pitch w:val="default"/>
    <w:sig w:usb0="800002BF" w:usb1="38CF7CFA" w:usb2="00000016" w:usb3="00000000" w:csb0="00040001" w:csb1="00000000"/>
    <w:embedRegular r:id="rId3" w:fontKey="{A6EDE03B-547D-47C2-AFB4-2BB79E88B8C1}"/>
  </w:font>
  <w:font w:name="Courier New">
    <w:panose1 w:val="02070309020205020404"/>
    <w:charset w:val="01"/>
    <w:family w:val="modern"/>
    <w:pitch w:val="default"/>
    <w:sig w:usb0="E0002EFF" w:usb1="C0007843" w:usb2="00000009" w:usb3="00000000" w:csb0="400001FF" w:csb1="FFFF0000"/>
    <w:embedRegular r:id="rId4" w:fontKey="{8D3D84E6-6A54-4288-BF69-7BC712A522E3}"/>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5" w:fontKey="{2A3FDDA0-63F1-4875-A260-D75A0947404A}"/>
  </w:font>
  <w:font w:name="微软雅黑">
    <w:panose1 w:val="020B0503020204020204"/>
    <w:charset w:val="86"/>
    <w:family w:val="auto"/>
    <w:pitch w:val="default"/>
    <w:sig w:usb0="80000287" w:usb1="2ACF3C50" w:usb2="00000016" w:usb3="00000000" w:csb0="0004001F" w:csb1="00000000"/>
    <w:embedRegular r:id="rId6" w:fontKey="{095179F1-1712-445B-B7B1-24FA12CB2B42}"/>
  </w:font>
  <w:font w:name="仿宋">
    <w:panose1 w:val="02010609060101010101"/>
    <w:charset w:val="86"/>
    <w:family w:val="auto"/>
    <w:pitch w:val="default"/>
    <w:sig w:usb0="800002BF" w:usb1="38CF7CFA" w:usb2="00000016" w:usb3="00000000" w:csb0="00040001" w:csb1="00000000"/>
    <w:embedRegular r:id="rId7" w:fontKey="{248AF2DE-DD2A-45A6-B08A-3C96D6CA06C5}"/>
  </w:font>
  <w:font w:name="方正小标宋_GBK">
    <w:panose1 w:val="02000000000000000000"/>
    <w:charset w:val="86"/>
    <w:family w:val="script"/>
    <w:pitch w:val="default"/>
    <w:sig w:usb0="A00002BF" w:usb1="38CF7CFA" w:usb2="00082016" w:usb3="00000000" w:csb0="00040001" w:csb1="00000000"/>
    <w:embedRegular r:id="rId8" w:fontKey="{86B9EABE-AFA9-426B-B0AB-B6BBCD88D26D}"/>
  </w:font>
  <w:font w:name="华文中宋">
    <w:panose1 w:val="02010600040101010101"/>
    <w:charset w:val="86"/>
    <w:family w:val="auto"/>
    <w:pitch w:val="default"/>
    <w:sig w:usb0="00000287" w:usb1="080F0000" w:usb2="00000000" w:usb3="00000000" w:csb0="0004009F" w:csb1="DFD70000"/>
    <w:embedRegular r:id="rId9" w:fontKey="{95E6A3A7-3B74-49AD-A77F-B19F0ABF5D44}"/>
  </w:font>
  <w:font w:name="楷体_GB2312">
    <w:altName w:val="楷体"/>
    <w:panose1 w:val="02010609030101010101"/>
    <w:charset w:val="86"/>
    <w:family w:val="modern"/>
    <w:pitch w:val="default"/>
    <w:sig w:usb0="00000000" w:usb1="00000000" w:usb2="00000000" w:usb3="00000000" w:csb0="00040000" w:csb1="00000000"/>
    <w:embedRegular r:id="rId10" w:fontKey="{06DD057F-E705-4081-B493-D3589D7F1844}"/>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embedRegular r:id="rId11" w:fontKey="{FFA769DB-4726-4718-A9D9-8A08F4B28E4A}"/>
  </w:font>
  <w:font w:name="WPSEMBED1">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BCA91">
    <w:pPr>
      <w:pStyle w:val="15"/>
      <w:ind w:left="240" w:right="359" w:rightChars="171" w:hanging="240" w:hangingChars="100"/>
      <w:jc w:val="center"/>
      <w:rPr>
        <w:rFonts w:eastAsia="楷体_GB2312"/>
        <w:sz w:val="24"/>
        <w:szCs w:val="24"/>
      </w:rPr>
    </w:pPr>
  </w:p>
  <w:p w14:paraId="69D979D2">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685E7">
    <w:pPr>
      <w:pStyle w:val="15"/>
      <w:ind w:left="240" w:right="359" w:rightChars="171" w:hanging="240" w:hangingChars="100"/>
      <w:jc w:val="center"/>
      <w:rPr>
        <w:rFonts w:eastAsia="楷体_GB2312"/>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9B92C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579B92C4">
                    <w:pPr>
                      <w:pStyle w:val="15"/>
                    </w:pPr>
                    <w:r>
                      <w:fldChar w:fldCharType="begin"/>
                    </w:r>
                    <w:r>
                      <w:instrText xml:space="preserve"> PAGE  \* MERGEFORMAT </w:instrText>
                    </w:r>
                    <w:r>
                      <w:fldChar w:fldCharType="separate"/>
                    </w:r>
                    <w:r>
                      <w:t>1</w:t>
                    </w:r>
                    <w:r>
                      <w:fldChar w:fldCharType="end"/>
                    </w:r>
                  </w:p>
                </w:txbxContent>
              </v:textbox>
            </v:shape>
          </w:pict>
        </mc:Fallback>
      </mc:AlternateContent>
    </w:r>
  </w:p>
  <w:p w14:paraId="0998D5BB">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07813">
    <w:pPr>
      <w:rPr>
        <w:rFonts w:hint="eastAsia"/>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DF350E">
                          <w:pPr>
                            <w:pStyle w:val="15"/>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19DF350E">
                    <w:pPr>
                      <w:pStyle w:val="15"/>
                    </w:pPr>
                    <w:r>
                      <w:fldChar w:fldCharType="begin"/>
                    </w:r>
                    <w:r>
                      <w:instrText xml:space="preserve"> PAGE  \* MERGEFORMAT </w:instrText>
                    </w:r>
                    <w:r>
                      <w:fldChar w:fldCharType="separate"/>
                    </w:r>
                    <w:r>
                      <w:t>12</w:t>
                    </w:r>
                    <w:r>
                      <w:fldChar w:fldCharType="end"/>
                    </w:r>
                  </w:p>
                </w:txbxContent>
              </v:textbox>
            </v:shape>
          </w:pict>
        </mc:Fallback>
      </mc:AlternateContent>
    </w: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060D9">
    <w:pPr>
      <w:rPr>
        <w:rFonts w:hint="eastAsia"/>
        <w:lang w:eastAsia="zh-CN"/>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3E8ED6">
                          <w:pPr>
                            <w:pStyle w:val="15"/>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7D3E8ED6">
                    <w:pPr>
                      <w:pStyle w:val="15"/>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72FFB">
    <w:pPr>
      <w:rPr>
        <w:rFonts w:hint="eastAsia"/>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13F4CF">
                          <w:pPr>
                            <w:pStyle w:val="15"/>
                          </w:pPr>
                          <w:r>
                            <w:fldChar w:fldCharType="begin"/>
                          </w:r>
                          <w:r>
                            <w:instrText xml:space="preserve"> PAGE  \* MERGEFORMAT </w:instrText>
                          </w:r>
                          <w:r>
                            <w:fldChar w:fldCharType="separate"/>
                          </w:r>
                          <w:r>
                            <w:t>108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5913F4CF">
                    <w:pPr>
                      <w:pStyle w:val="15"/>
                    </w:pPr>
                    <w:r>
                      <w:fldChar w:fldCharType="begin"/>
                    </w:r>
                    <w:r>
                      <w:instrText xml:space="preserve"> PAGE  \* MERGEFORMAT </w:instrText>
                    </w:r>
                    <w:r>
                      <w:fldChar w:fldCharType="separate"/>
                    </w:r>
                    <w:r>
                      <w:t>108</w:t>
                    </w:r>
                    <w:r>
                      <w:fldChar w:fldCharType="end"/>
                    </w:r>
                  </w:p>
                </w:txbxContent>
              </v:textbox>
            </v:shape>
          </w:pict>
        </mc:Fallback>
      </mc:AlternateContent>
    </w: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7D945">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3E6E3B"/>
    <w:multiLevelType w:val="singleLevel"/>
    <w:tmpl w:val="CC3E6E3B"/>
    <w:lvl w:ilvl="0" w:tentative="0">
      <w:start w:val="3"/>
      <w:numFmt w:val="decimal"/>
      <w:suff w:val="nothing"/>
      <w:lvlText w:val="（%1）"/>
      <w:lvlJc w:val="left"/>
      <w:pPr>
        <w:ind w:left="134"/>
      </w:pPr>
    </w:lvl>
  </w:abstractNum>
  <w:abstractNum w:abstractNumId="1">
    <w:nsid w:val="1EEA04FB"/>
    <w:multiLevelType w:val="singleLevel"/>
    <w:tmpl w:val="1EEA04FB"/>
    <w:lvl w:ilvl="0" w:tentative="0">
      <w:start w:val="4"/>
      <w:numFmt w:val="chineseCounting"/>
      <w:suff w:val="space"/>
      <w:lvlText w:val="第%1章"/>
      <w:lvlJc w:val="left"/>
      <w:rPr>
        <w:rFonts w:hint="eastAsia"/>
      </w:rPr>
    </w:lvl>
  </w:abstractNum>
  <w:abstractNum w:abstractNumId="2">
    <w:nsid w:val="61FD00C8"/>
    <w:multiLevelType w:val="multilevel"/>
    <w:tmpl w:val="61FD00C8"/>
    <w:lvl w:ilvl="0" w:tentative="0">
      <w:start w:val="5"/>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OTIzMWU1OTU4M2ViYzc1NTM2ZjhjZGQ4MWY5NDgifQ=="/>
  </w:docVars>
  <w:rsids>
    <w:rsidRoot w:val="4EF23BBF"/>
    <w:rsid w:val="00A826B8"/>
    <w:rsid w:val="02DF6E44"/>
    <w:rsid w:val="03BA3913"/>
    <w:rsid w:val="054373A2"/>
    <w:rsid w:val="05F946BB"/>
    <w:rsid w:val="078F5B78"/>
    <w:rsid w:val="09C01E31"/>
    <w:rsid w:val="09D77A57"/>
    <w:rsid w:val="0A816703"/>
    <w:rsid w:val="0D2B6466"/>
    <w:rsid w:val="0DCD1019"/>
    <w:rsid w:val="0E192E3E"/>
    <w:rsid w:val="0F020EEC"/>
    <w:rsid w:val="100625C1"/>
    <w:rsid w:val="10EA624E"/>
    <w:rsid w:val="113C63A4"/>
    <w:rsid w:val="117D5F00"/>
    <w:rsid w:val="11C9696E"/>
    <w:rsid w:val="122147C9"/>
    <w:rsid w:val="124458F7"/>
    <w:rsid w:val="13722B23"/>
    <w:rsid w:val="137E2C2E"/>
    <w:rsid w:val="14367609"/>
    <w:rsid w:val="146A7F9A"/>
    <w:rsid w:val="148B3E80"/>
    <w:rsid w:val="14A46771"/>
    <w:rsid w:val="153E18BF"/>
    <w:rsid w:val="158C1DCB"/>
    <w:rsid w:val="1620577A"/>
    <w:rsid w:val="16AD3C47"/>
    <w:rsid w:val="1788099D"/>
    <w:rsid w:val="17CE49A0"/>
    <w:rsid w:val="18996266"/>
    <w:rsid w:val="189B35C6"/>
    <w:rsid w:val="18E83EF1"/>
    <w:rsid w:val="19D43786"/>
    <w:rsid w:val="1A895C3A"/>
    <w:rsid w:val="1AAD1C38"/>
    <w:rsid w:val="1C4A7844"/>
    <w:rsid w:val="1C580648"/>
    <w:rsid w:val="1CCC10E6"/>
    <w:rsid w:val="1DAF7D39"/>
    <w:rsid w:val="1EBA4458"/>
    <w:rsid w:val="1EFF640D"/>
    <w:rsid w:val="20565428"/>
    <w:rsid w:val="21775071"/>
    <w:rsid w:val="21FF19B0"/>
    <w:rsid w:val="22AA5C60"/>
    <w:rsid w:val="231F3E73"/>
    <w:rsid w:val="231F636F"/>
    <w:rsid w:val="237E7F05"/>
    <w:rsid w:val="23BF79F1"/>
    <w:rsid w:val="24885842"/>
    <w:rsid w:val="24B84B72"/>
    <w:rsid w:val="24C84695"/>
    <w:rsid w:val="254137BA"/>
    <w:rsid w:val="25BC39F6"/>
    <w:rsid w:val="260811F7"/>
    <w:rsid w:val="270E13E6"/>
    <w:rsid w:val="27176C44"/>
    <w:rsid w:val="27304022"/>
    <w:rsid w:val="28CC3BEF"/>
    <w:rsid w:val="28EB3C52"/>
    <w:rsid w:val="2A2142C7"/>
    <w:rsid w:val="2AAC0D4D"/>
    <w:rsid w:val="2BFB78FF"/>
    <w:rsid w:val="2C9151FE"/>
    <w:rsid w:val="2D362D8F"/>
    <w:rsid w:val="2D5A74AA"/>
    <w:rsid w:val="2E374561"/>
    <w:rsid w:val="2F63146E"/>
    <w:rsid w:val="3018034C"/>
    <w:rsid w:val="301B7C25"/>
    <w:rsid w:val="3087750E"/>
    <w:rsid w:val="31F82FC3"/>
    <w:rsid w:val="327A5E00"/>
    <w:rsid w:val="3712566A"/>
    <w:rsid w:val="37953E7A"/>
    <w:rsid w:val="39286F25"/>
    <w:rsid w:val="3D0C7A99"/>
    <w:rsid w:val="3D6D5906"/>
    <w:rsid w:val="3DB5648B"/>
    <w:rsid w:val="3E1F4352"/>
    <w:rsid w:val="3E9748A5"/>
    <w:rsid w:val="3EF15E85"/>
    <w:rsid w:val="40E03D2A"/>
    <w:rsid w:val="41313092"/>
    <w:rsid w:val="41550934"/>
    <w:rsid w:val="41A63B7C"/>
    <w:rsid w:val="431046FB"/>
    <w:rsid w:val="43106A74"/>
    <w:rsid w:val="436A4D41"/>
    <w:rsid w:val="44373096"/>
    <w:rsid w:val="45337676"/>
    <w:rsid w:val="4ADA7150"/>
    <w:rsid w:val="4BAC4E82"/>
    <w:rsid w:val="4CA52A36"/>
    <w:rsid w:val="4CDA744C"/>
    <w:rsid w:val="4D05599E"/>
    <w:rsid w:val="4DC30B55"/>
    <w:rsid w:val="4E196DAB"/>
    <w:rsid w:val="4EB97FBB"/>
    <w:rsid w:val="4EF23BBF"/>
    <w:rsid w:val="4F7D6701"/>
    <w:rsid w:val="502607A9"/>
    <w:rsid w:val="50790C90"/>
    <w:rsid w:val="51C07C39"/>
    <w:rsid w:val="537F7C8D"/>
    <w:rsid w:val="53E83379"/>
    <w:rsid w:val="54047A08"/>
    <w:rsid w:val="54A159E1"/>
    <w:rsid w:val="54AC2406"/>
    <w:rsid w:val="5616339D"/>
    <w:rsid w:val="561B17C3"/>
    <w:rsid w:val="56EC094C"/>
    <w:rsid w:val="5B360D14"/>
    <w:rsid w:val="5B4F2576"/>
    <w:rsid w:val="5E151032"/>
    <w:rsid w:val="5E29077E"/>
    <w:rsid w:val="5ECB2055"/>
    <w:rsid w:val="5F0C54BA"/>
    <w:rsid w:val="63620A31"/>
    <w:rsid w:val="640759B2"/>
    <w:rsid w:val="65EB11B2"/>
    <w:rsid w:val="66160084"/>
    <w:rsid w:val="664F16AD"/>
    <w:rsid w:val="66C764AB"/>
    <w:rsid w:val="68CB16B1"/>
    <w:rsid w:val="6B33761A"/>
    <w:rsid w:val="6CC83929"/>
    <w:rsid w:val="6DAC1227"/>
    <w:rsid w:val="715E0663"/>
    <w:rsid w:val="717331FF"/>
    <w:rsid w:val="71AC52A7"/>
    <w:rsid w:val="72347F7B"/>
    <w:rsid w:val="74DC1BFD"/>
    <w:rsid w:val="74EE3E0A"/>
    <w:rsid w:val="754A6F7D"/>
    <w:rsid w:val="772750AE"/>
    <w:rsid w:val="79F579B6"/>
    <w:rsid w:val="7C0D0E80"/>
    <w:rsid w:val="7DC832D7"/>
    <w:rsid w:val="7FBD4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0"/>
    <w:qFormat/>
    <w:uiPriority w:val="0"/>
    <w:pPr>
      <w:keepNext/>
      <w:snapToGrid w:val="0"/>
      <w:spacing w:line="360" w:lineRule="auto"/>
      <w:jc w:val="center"/>
      <w:outlineLvl w:val="0"/>
    </w:pPr>
    <w:rPr>
      <w:rFonts w:eastAsia="黑体"/>
      <w:bCs/>
      <w:sz w:val="36"/>
      <w:szCs w:val="20"/>
    </w:rPr>
  </w:style>
  <w:style w:type="paragraph" w:styleId="4">
    <w:name w:val="heading 2"/>
    <w:basedOn w:val="1"/>
    <w:next w:val="1"/>
    <w:link w:val="38"/>
    <w:qFormat/>
    <w:uiPriority w:val="0"/>
    <w:pPr>
      <w:keepNext/>
      <w:keepLines/>
      <w:snapToGrid w:val="0"/>
      <w:spacing w:line="360" w:lineRule="auto"/>
      <w:jc w:val="center"/>
      <w:outlineLvl w:val="1"/>
    </w:pPr>
    <w:rPr>
      <w:rFonts w:ascii="Arial" w:hAnsi="Arial" w:eastAsia="黑体"/>
      <w:bCs/>
      <w:sz w:val="32"/>
      <w:szCs w:val="32"/>
    </w:rPr>
  </w:style>
  <w:style w:type="paragraph" w:styleId="5">
    <w:name w:val="heading 3"/>
    <w:basedOn w:val="1"/>
    <w:next w:val="1"/>
    <w:qFormat/>
    <w:uiPriority w:val="0"/>
    <w:pPr>
      <w:keepNext/>
      <w:keepLines/>
      <w:snapToGrid w:val="0"/>
      <w:spacing w:line="360" w:lineRule="auto"/>
      <w:jc w:val="left"/>
      <w:outlineLvl w:val="2"/>
    </w:pPr>
    <w:rPr>
      <w:rFonts w:eastAsia="黑体"/>
      <w:b/>
      <w:bCs/>
      <w:sz w:val="24"/>
      <w:szCs w:val="32"/>
    </w:rPr>
  </w:style>
  <w:style w:type="character" w:default="1" w:styleId="23">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99"/>
    <w:pPr>
      <w:spacing w:after="120" w:line="480" w:lineRule="auto"/>
    </w:pPr>
  </w:style>
  <w:style w:type="paragraph" w:styleId="6">
    <w:name w:val="Normal Indent"/>
    <w:basedOn w:val="1"/>
    <w:next w:val="7"/>
    <w:qFormat/>
    <w:uiPriority w:val="0"/>
    <w:pPr>
      <w:widowControl/>
      <w:ind w:firstLine="420"/>
      <w:jc w:val="left"/>
    </w:pPr>
    <w:rPr>
      <w:kern w:val="0"/>
      <w:sz w:val="20"/>
      <w:szCs w:val="20"/>
    </w:rPr>
  </w:style>
  <w:style w:type="paragraph" w:customStyle="1" w:styleId="7">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8">
    <w:name w:val="annotation text"/>
    <w:basedOn w:val="1"/>
    <w:semiHidden/>
    <w:qFormat/>
    <w:uiPriority w:val="0"/>
    <w:pPr>
      <w:jc w:val="left"/>
    </w:pPr>
  </w:style>
  <w:style w:type="paragraph" w:styleId="9">
    <w:name w:val="Body Text"/>
    <w:basedOn w:val="1"/>
    <w:qFormat/>
    <w:uiPriority w:val="0"/>
    <w:pPr>
      <w:spacing w:after="120"/>
    </w:pPr>
  </w:style>
  <w:style w:type="paragraph" w:styleId="10">
    <w:name w:val="Body Text Indent"/>
    <w:basedOn w:val="1"/>
    <w:next w:val="11"/>
    <w:qFormat/>
    <w:uiPriority w:val="0"/>
    <w:pPr>
      <w:spacing w:after="120"/>
      <w:ind w:left="420" w:leftChars="200"/>
    </w:pPr>
    <w:rPr>
      <w:rFonts w:ascii="宋体" w:hAnsi="宋体"/>
    </w:rPr>
  </w:style>
  <w:style w:type="paragraph" w:styleId="11">
    <w:name w:val="Body Text Indent 2"/>
    <w:basedOn w:val="1"/>
    <w:qFormat/>
    <w:uiPriority w:val="0"/>
    <w:pPr>
      <w:spacing w:after="120" w:line="480" w:lineRule="auto"/>
      <w:ind w:left="420" w:leftChars="200"/>
    </w:pPr>
  </w:style>
  <w:style w:type="paragraph" w:styleId="12">
    <w:name w:val="toc 3"/>
    <w:basedOn w:val="1"/>
    <w:next w:val="1"/>
    <w:unhideWhenUsed/>
    <w:qFormat/>
    <w:uiPriority w:val="39"/>
    <w:pPr>
      <w:adjustRightInd w:val="0"/>
      <w:snapToGrid w:val="0"/>
      <w:spacing w:line="360" w:lineRule="auto"/>
      <w:ind w:left="400" w:leftChars="400"/>
    </w:pPr>
    <w:rPr>
      <w:rFonts w:eastAsia="宋体"/>
      <w:b/>
    </w:rPr>
  </w:style>
  <w:style w:type="paragraph" w:styleId="13">
    <w:name w:val="Plain Text"/>
    <w:basedOn w:val="1"/>
    <w:next w:val="1"/>
    <w:qFormat/>
    <w:uiPriority w:val="0"/>
    <w:rPr>
      <w:rFonts w:ascii="宋体" w:hAnsi="Courier New" w:cs="Courier New"/>
      <w:szCs w:val="21"/>
    </w:rPr>
  </w:style>
  <w:style w:type="paragraph" w:styleId="14">
    <w:name w:val="Date"/>
    <w:basedOn w:val="1"/>
    <w:next w:val="1"/>
    <w:qFormat/>
    <w:uiPriority w:val="0"/>
    <w:rPr>
      <w:sz w:val="24"/>
      <w:szCs w:val="20"/>
    </w:rPr>
  </w:style>
  <w:style w:type="paragraph" w:styleId="15">
    <w:name w:val="footer"/>
    <w:basedOn w:val="1"/>
    <w:qFormat/>
    <w:uiPriority w:val="0"/>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0"/>
  </w:style>
  <w:style w:type="paragraph" w:styleId="18">
    <w:name w:val="toc 2"/>
    <w:basedOn w:val="1"/>
    <w:next w:val="1"/>
    <w:qFormat/>
    <w:uiPriority w:val="0"/>
    <w:pPr>
      <w:ind w:left="420" w:leftChars="200"/>
    </w:p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0">
    <w:name w:val="annotation subject"/>
    <w:basedOn w:val="8"/>
    <w:next w:val="1"/>
    <w:qFormat/>
    <w:uiPriority w:val="0"/>
    <w:rPr>
      <w:b/>
      <w:bCs/>
    </w:rPr>
  </w:style>
  <w:style w:type="paragraph" w:styleId="21">
    <w:name w:val="Body Text First Indent 2"/>
    <w:basedOn w:val="10"/>
    <w:qFormat/>
    <w:uiPriority w:val="0"/>
    <w:pPr>
      <w:tabs>
        <w:tab w:val="left" w:pos="0"/>
        <w:tab w:val="left" w:pos="540"/>
        <w:tab w:val="left" w:pos="630"/>
        <w:tab w:val="left" w:pos="1440"/>
      </w:tabs>
      <w:spacing w:after="120" w:line="360" w:lineRule="auto"/>
      <w:ind w:left="420" w:leftChars="200" w:firstLine="420"/>
    </w:pPr>
    <w:rPr>
      <w:sz w:val="20"/>
      <w:szCs w:val="20"/>
    </w:rPr>
  </w:style>
  <w:style w:type="character" w:styleId="24">
    <w:name w:val="Strong"/>
    <w:basedOn w:val="23"/>
    <w:qFormat/>
    <w:uiPriority w:val="0"/>
    <w:rPr>
      <w:b/>
      <w:bCs/>
    </w:rPr>
  </w:style>
  <w:style w:type="character" w:styleId="25">
    <w:name w:val="page number"/>
    <w:basedOn w:val="23"/>
    <w:qFormat/>
    <w:uiPriority w:val="0"/>
  </w:style>
  <w:style w:type="character" w:styleId="26">
    <w:name w:val="FollowedHyperlink"/>
    <w:basedOn w:val="23"/>
    <w:qFormat/>
    <w:uiPriority w:val="0"/>
    <w:rPr>
      <w:color w:val="296FBE"/>
      <w:u w:val="none"/>
    </w:rPr>
  </w:style>
  <w:style w:type="character" w:styleId="27">
    <w:name w:val="HTML Definition"/>
    <w:basedOn w:val="23"/>
    <w:qFormat/>
    <w:uiPriority w:val="0"/>
  </w:style>
  <w:style w:type="character" w:styleId="28">
    <w:name w:val="HTML Variable"/>
    <w:basedOn w:val="23"/>
    <w:qFormat/>
    <w:uiPriority w:val="0"/>
  </w:style>
  <w:style w:type="character" w:styleId="29">
    <w:name w:val="Hyperlink"/>
    <w:basedOn w:val="23"/>
    <w:qFormat/>
    <w:uiPriority w:val="0"/>
    <w:rPr>
      <w:color w:val="296FBE"/>
      <w:u w:val="none"/>
    </w:rPr>
  </w:style>
  <w:style w:type="character" w:styleId="30">
    <w:name w:val="HTML Code"/>
    <w:basedOn w:val="23"/>
    <w:qFormat/>
    <w:uiPriority w:val="0"/>
    <w:rPr>
      <w:rFonts w:ascii="微软雅黑" w:hAnsi="微软雅黑" w:eastAsia="微软雅黑" w:cs="微软雅黑"/>
      <w:sz w:val="0"/>
      <w:szCs w:val="0"/>
      <w:shd w:val="clear" w:fill="FFFFFF"/>
    </w:rPr>
  </w:style>
  <w:style w:type="character" w:styleId="31">
    <w:name w:val="HTML Cite"/>
    <w:basedOn w:val="23"/>
    <w:qFormat/>
    <w:uiPriority w:val="0"/>
  </w:style>
  <w:style w:type="paragraph" w:customStyle="1" w:styleId="32">
    <w:name w:val="列出段落1"/>
    <w:basedOn w:val="33"/>
    <w:qFormat/>
    <w:uiPriority w:val="0"/>
    <w:pPr>
      <w:ind w:firstLine="420" w:firstLineChars="200"/>
    </w:pPr>
    <w:rPr>
      <w:szCs w:val="21"/>
    </w:rPr>
  </w:style>
  <w:style w:type="paragraph" w:customStyle="1" w:styleId="33">
    <w:name w:val="正文1"/>
    <w:basedOn w:val="34"/>
    <w:next w:val="35"/>
    <w:qFormat/>
    <w:uiPriority w:val="0"/>
    <w:pPr>
      <w:spacing w:line="360" w:lineRule="auto"/>
      <w:ind w:firstLine="480" w:firstLineChars="200"/>
    </w:pPr>
    <w:rPr>
      <w:sz w:val="24"/>
    </w:rPr>
  </w:style>
  <w:style w:type="paragraph" w:customStyle="1" w:styleId="34">
    <w:name w:val="正文_0"/>
    <w:next w:val="2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5">
    <w:name w:val="脚注文本1"/>
    <w:basedOn w:val="33"/>
    <w:next w:val="36"/>
    <w:qFormat/>
    <w:uiPriority w:val="0"/>
    <w:pPr>
      <w:jc w:val="left"/>
    </w:pPr>
    <w:rPr>
      <w:rFonts w:ascii="宋体" w:eastAsia="Times New Roman"/>
      <w:sz w:val="18"/>
      <w:szCs w:val="18"/>
    </w:rPr>
  </w:style>
  <w:style w:type="paragraph" w:customStyle="1" w:styleId="36">
    <w:name w:val="索引 51"/>
    <w:basedOn w:val="33"/>
    <w:next w:val="33"/>
    <w:qFormat/>
    <w:uiPriority w:val="0"/>
    <w:pPr>
      <w:ind w:left="798"/>
      <w:jc w:val="left"/>
    </w:pPr>
    <w:rPr>
      <w:rFonts w:ascii="Calibri" w:hAnsi="Calibri"/>
    </w:rPr>
  </w:style>
  <w:style w:type="paragraph" w:customStyle="1" w:styleId="37">
    <w:name w:val="正文_10_43"/>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8">
    <w:name w:val="标题 2 Char1"/>
    <w:link w:val="4"/>
    <w:qFormat/>
    <w:uiPriority w:val="0"/>
    <w:rPr>
      <w:rFonts w:ascii="Arial" w:hAnsi="Arial" w:eastAsia="黑体"/>
      <w:bCs/>
      <w:sz w:val="32"/>
      <w:szCs w:val="32"/>
    </w:rPr>
  </w:style>
  <w:style w:type="paragraph" w:customStyle="1" w:styleId="39">
    <w:name w:val="p0"/>
    <w:basedOn w:val="1"/>
    <w:qFormat/>
    <w:uiPriority w:val="0"/>
    <w:pPr>
      <w:widowControl/>
    </w:pPr>
    <w:rPr>
      <w:kern w:val="0"/>
      <w:szCs w:val="21"/>
    </w:rPr>
  </w:style>
  <w:style w:type="character" w:customStyle="1" w:styleId="40">
    <w:name w:val="标题 1 Char1"/>
    <w:link w:val="3"/>
    <w:qFormat/>
    <w:uiPriority w:val="0"/>
    <w:rPr>
      <w:rFonts w:eastAsia="黑体"/>
      <w:bCs/>
      <w:sz w:val="36"/>
      <w:szCs w:val="20"/>
    </w:rPr>
  </w:style>
  <w:style w:type="character" w:customStyle="1" w:styleId="41">
    <w:name w:val="cdropright"/>
    <w:basedOn w:val="23"/>
    <w:qFormat/>
    <w:uiPriority w:val="0"/>
  </w:style>
  <w:style w:type="character" w:customStyle="1" w:styleId="42">
    <w:name w:val="drapbtn"/>
    <w:basedOn w:val="23"/>
    <w:qFormat/>
    <w:uiPriority w:val="0"/>
  </w:style>
  <w:style w:type="character" w:customStyle="1" w:styleId="43">
    <w:name w:val="cy"/>
    <w:basedOn w:val="23"/>
    <w:qFormat/>
    <w:uiPriority w:val="0"/>
  </w:style>
  <w:style w:type="character" w:customStyle="1" w:styleId="44">
    <w:name w:val="pagechatarealistclose_box"/>
    <w:basedOn w:val="23"/>
    <w:qFormat/>
    <w:uiPriority w:val="0"/>
  </w:style>
  <w:style w:type="character" w:customStyle="1" w:styleId="45">
    <w:name w:val="pagechatarealistclose_box1"/>
    <w:basedOn w:val="23"/>
    <w:qFormat/>
    <w:uiPriority w:val="0"/>
  </w:style>
  <w:style w:type="character" w:customStyle="1" w:styleId="46">
    <w:name w:val="ico1656"/>
    <w:basedOn w:val="23"/>
    <w:qFormat/>
    <w:uiPriority w:val="0"/>
  </w:style>
  <w:style w:type="character" w:customStyle="1" w:styleId="47">
    <w:name w:val="ico1657"/>
    <w:basedOn w:val="23"/>
    <w:qFormat/>
    <w:uiPriority w:val="0"/>
  </w:style>
  <w:style w:type="character" w:customStyle="1" w:styleId="48">
    <w:name w:val="ico1658"/>
    <w:basedOn w:val="23"/>
    <w:qFormat/>
    <w:uiPriority w:val="0"/>
  </w:style>
  <w:style w:type="character" w:customStyle="1" w:styleId="49">
    <w:name w:val="xdrichtextbox"/>
    <w:basedOn w:val="23"/>
    <w:qFormat/>
    <w:uiPriority w:val="0"/>
    <w:rPr>
      <w:color w:val="auto"/>
      <w:sz w:val="18"/>
      <w:szCs w:val="18"/>
      <w:u w:val="none"/>
      <w:bdr w:val="single" w:color="DCDCDC" w:sz="8" w:space="0"/>
      <w:shd w:val="clear" w:fill="auto"/>
    </w:rPr>
  </w:style>
  <w:style w:type="character" w:customStyle="1" w:styleId="50">
    <w:name w:val="edit_class"/>
    <w:basedOn w:val="23"/>
    <w:qFormat/>
    <w:uiPriority w:val="0"/>
  </w:style>
  <w:style w:type="character" w:customStyle="1" w:styleId="51">
    <w:name w:val="estimate_gray"/>
    <w:basedOn w:val="23"/>
    <w:qFormat/>
    <w:uiPriority w:val="0"/>
    <w:rPr>
      <w:color w:val="FFFFFF"/>
    </w:rPr>
  </w:style>
  <w:style w:type="character" w:customStyle="1" w:styleId="52">
    <w:name w:val="active7"/>
    <w:basedOn w:val="23"/>
    <w:qFormat/>
    <w:uiPriority w:val="0"/>
    <w:rPr>
      <w:color w:val="00FF00"/>
      <w:shd w:val="clear" w:fill="111111"/>
    </w:rPr>
  </w:style>
  <w:style w:type="character" w:customStyle="1" w:styleId="53">
    <w:name w:val="biggerthanmax"/>
    <w:basedOn w:val="23"/>
    <w:qFormat/>
    <w:uiPriority w:val="0"/>
    <w:rPr>
      <w:shd w:val="clear" w:fill="FFFF00"/>
    </w:rPr>
  </w:style>
  <w:style w:type="character" w:customStyle="1" w:styleId="54">
    <w:name w:val="tmpztreemove_arrow"/>
    <w:basedOn w:val="23"/>
    <w:qFormat/>
    <w:uiPriority w:val="0"/>
  </w:style>
  <w:style w:type="character" w:customStyle="1" w:styleId="55">
    <w:name w:val="hilite"/>
    <w:basedOn w:val="23"/>
    <w:qFormat/>
    <w:uiPriority w:val="0"/>
    <w:rPr>
      <w:color w:val="FFFFFF"/>
      <w:shd w:val="clear" w:fill="666666"/>
    </w:rPr>
  </w:style>
  <w:style w:type="character" w:customStyle="1" w:styleId="56">
    <w:name w:val="w32"/>
    <w:basedOn w:val="23"/>
    <w:qFormat/>
    <w:uiPriority w:val="0"/>
  </w:style>
  <w:style w:type="character" w:customStyle="1" w:styleId="57">
    <w:name w:val="button"/>
    <w:basedOn w:val="23"/>
    <w:qFormat/>
    <w:uiPriority w:val="0"/>
  </w:style>
  <w:style w:type="character" w:customStyle="1" w:styleId="58">
    <w:name w:val="hover44"/>
    <w:basedOn w:val="23"/>
    <w:qFormat/>
    <w:uiPriority w:val="0"/>
    <w:rPr>
      <w:color w:val="FFFFFF"/>
    </w:rPr>
  </w:style>
  <w:style w:type="character" w:customStyle="1" w:styleId="59">
    <w:name w:val="cdropleft"/>
    <w:basedOn w:val="23"/>
    <w:qFormat/>
    <w:uiPriority w:val="0"/>
  </w:style>
  <w:style w:type="character" w:customStyle="1" w:styleId="60">
    <w:name w:val="after"/>
    <w:basedOn w:val="23"/>
    <w:qFormat/>
    <w:uiPriority w:val="0"/>
    <w:rPr>
      <w:sz w:val="0"/>
      <w:szCs w:val="0"/>
    </w:rPr>
  </w:style>
  <w:style w:type="character" w:customStyle="1" w:styleId="61">
    <w:name w:val="browse_class&gt;span"/>
    <w:basedOn w:val="23"/>
    <w:qFormat/>
    <w:uiPriority w:val="0"/>
  </w:style>
  <w:style w:type="character" w:customStyle="1" w:styleId="62">
    <w:name w:val="liked_gray"/>
    <w:basedOn w:val="23"/>
    <w:qFormat/>
    <w:uiPriority w:val="0"/>
    <w:rPr>
      <w:color w:val="FFFFFF"/>
    </w:rPr>
  </w:style>
  <w:style w:type="character" w:customStyle="1" w:styleId="63">
    <w:name w:val="moreaction32"/>
    <w:basedOn w:val="23"/>
    <w:qFormat/>
    <w:uiPriority w:val="0"/>
  </w:style>
  <w:style w:type="character" w:customStyle="1" w:styleId="64">
    <w:name w:val="design_class"/>
    <w:basedOn w:val="23"/>
    <w:qFormat/>
    <w:uiPriority w:val="0"/>
  </w:style>
  <w:style w:type="paragraph" w:customStyle="1" w:styleId="65">
    <w:name w:val="正文格式"/>
    <w:basedOn w:val="1"/>
    <w:qFormat/>
    <w:uiPriority w:val="0"/>
    <w:pPr>
      <w:widowControl/>
      <w:adjustRightInd w:val="0"/>
      <w:snapToGrid w:val="0"/>
      <w:spacing w:line="400" w:lineRule="atLeast"/>
      <w:ind w:firstLine="482"/>
      <w:textAlignment w:val="baseline"/>
    </w:pPr>
    <w:rPr>
      <w:kern w:val="0"/>
      <w:sz w:val="24"/>
    </w:rPr>
  </w:style>
  <w:style w:type="paragraph" w:customStyle="1" w:styleId="66">
    <w:name w:val="Char Char Char Char"/>
    <w:basedOn w:val="1"/>
    <w:qFormat/>
    <w:uiPriority w:val="0"/>
    <w:rPr>
      <w:sz w:val="28"/>
      <w:szCs w:val="20"/>
    </w:rPr>
  </w:style>
  <w:style w:type="character" w:customStyle="1" w:styleId="67">
    <w:name w:val="NormalCharacter"/>
    <w:qFormat/>
    <w:uiPriority w:val="0"/>
  </w:style>
  <w:style w:type="paragraph" w:customStyle="1" w:styleId="68">
    <w:name w:val="PlainText"/>
    <w:basedOn w:val="1"/>
    <w:qFormat/>
    <w:uiPriority w:val="0"/>
    <w:pPr>
      <w:textAlignment w:val="baseline"/>
    </w:pPr>
    <w:rPr>
      <w:rFonts w:ascii="宋体" w:hAnsi="Courier New"/>
    </w:rPr>
  </w:style>
  <w:style w:type="paragraph" w:customStyle="1" w:styleId="69">
    <w:name w:val="Table Text"/>
    <w:basedOn w:val="70"/>
    <w:semiHidden/>
    <w:qFormat/>
    <w:uiPriority w:val="0"/>
    <w:rPr>
      <w:rFonts w:ascii="仿宋" w:hAnsi="仿宋" w:eastAsia="仿宋" w:cs="仿宋"/>
      <w:sz w:val="22"/>
      <w:szCs w:val="22"/>
      <w:lang w:val="en-US" w:eastAsia="en-US" w:bidi="ar-SA"/>
    </w:rPr>
  </w:style>
  <w:style w:type="paragraph" w:customStyle="1" w:styleId="70">
    <w:name w:val="正文_1"/>
    <w:qFormat/>
    <w:uiPriority w:val="0"/>
    <w:pPr>
      <w:widowControl w:val="0"/>
      <w:jc w:val="both"/>
    </w:pPr>
    <w:rPr>
      <w:rFonts w:ascii="Times New Roman" w:hAnsi="Times New Roman" w:eastAsia="宋体" w:cs="Times New Roman"/>
      <w:kern w:val="2"/>
      <w:sz w:val="21"/>
      <w:szCs w:val="22"/>
      <w:lang w:val="en-US" w:eastAsia="zh-CN" w:bidi="ar-SA"/>
    </w:rPr>
  </w:style>
  <w:style w:type="table" w:customStyle="1" w:styleId="71">
    <w:name w:val="Table Normal"/>
    <w:semiHidden/>
    <w:unhideWhenUsed/>
    <w:qFormat/>
    <w:uiPriority w:val="0"/>
    <w:tblPr>
      <w:tblCellMar>
        <w:top w:w="0" w:type="dxa"/>
        <w:left w:w="0" w:type="dxa"/>
        <w:bottom w:w="0" w:type="dxa"/>
        <w:right w:w="0" w:type="dxa"/>
      </w:tblCellMar>
    </w:tblPr>
  </w:style>
  <w:style w:type="paragraph" w:customStyle="1" w:styleId="72">
    <w:name w:val="样式2"/>
    <w:basedOn w:val="16"/>
    <w:qFormat/>
    <w:uiPriority w:val="0"/>
    <w:pPr>
      <w:jc w:val="left"/>
    </w:pPr>
    <w:rPr>
      <w:rFonts w:ascii="Times New Roman" w:hAnsi="Times New Roman"/>
      <w:kern w:val="2"/>
      <w:sz w:val="28"/>
      <w:szCs w:val="21"/>
    </w:rPr>
  </w:style>
  <w:style w:type="paragraph" w:customStyle="1" w:styleId="73">
    <w:name w:val="样式 标题 2 + Times New Roman 四号 非加粗 段前: 5 磅 段后: 0 磅 行距: 固定值 20..._0"/>
    <w:basedOn w:val="74"/>
    <w:qFormat/>
    <w:uiPriority w:val="0"/>
    <w:pPr>
      <w:spacing w:before="100" w:after="0" w:line="400" w:lineRule="exact"/>
    </w:pPr>
    <w:rPr>
      <w:rFonts w:ascii="Times New Roman" w:hAnsi="Times New Roman" w:cs="宋体"/>
      <w:b w:val="0"/>
      <w:bCs w:val="0"/>
      <w:sz w:val="28"/>
      <w:szCs w:val="20"/>
    </w:rPr>
  </w:style>
  <w:style w:type="paragraph" w:customStyle="1" w:styleId="74">
    <w:name w:val="标题 2_1"/>
    <w:basedOn w:val="70"/>
    <w:next w:val="70"/>
    <w:qFormat/>
    <w:uiPriority w:val="0"/>
    <w:pPr>
      <w:keepNext/>
      <w:keepLines/>
      <w:spacing w:before="260" w:after="260" w:line="416" w:lineRule="auto"/>
      <w:outlineLvl w:val="1"/>
    </w:pPr>
    <w:rPr>
      <w:rFonts w:ascii="Arial" w:hAnsi="Arial" w:eastAsia="黑体"/>
      <w:b/>
      <w:bCs/>
      <w:sz w:val="32"/>
      <w:szCs w:val="32"/>
    </w:rPr>
  </w:style>
  <w:style w:type="paragraph" w:customStyle="1" w:styleId="75">
    <w:name w:val="样式 标题 3 + (中文) 黑体 小四 非加粗 段前: 7.8 磅 段后: 0 磅 行距: 固定值 20 磅_0"/>
    <w:basedOn w:val="76"/>
    <w:qFormat/>
    <w:uiPriority w:val="0"/>
    <w:pPr>
      <w:spacing w:before="0" w:after="0" w:line="400" w:lineRule="exact"/>
    </w:pPr>
    <w:rPr>
      <w:rFonts w:eastAsia="黑体" w:cs="宋体"/>
      <w:b w:val="0"/>
      <w:bCs w:val="0"/>
      <w:sz w:val="24"/>
      <w:szCs w:val="20"/>
    </w:rPr>
  </w:style>
  <w:style w:type="paragraph" w:customStyle="1" w:styleId="76">
    <w:name w:val="标题 3_0"/>
    <w:basedOn w:val="70"/>
    <w:next w:val="70"/>
    <w:qFormat/>
    <w:uiPriority w:val="0"/>
    <w:pPr>
      <w:keepNext/>
      <w:keepLines/>
      <w:spacing w:before="260" w:after="260" w:line="416" w:lineRule="auto"/>
      <w:outlineLvl w:val="2"/>
    </w:pPr>
    <w:rPr>
      <w:b/>
      <w:bCs/>
      <w:sz w:val="32"/>
      <w:szCs w:val="32"/>
    </w:rPr>
  </w:style>
  <w:style w:type="paragraph" w:customStyle="1" w:styleId="77">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78">
    <w:name w:val="10"/>
    <w:basedOn w:val="23"/>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107</Pages>
  <Words>18487</Words>
  <Characters>19502</Characters>
  <Lines>1</Lines>
  <Paragraphs>1</Paragraphs>
  <TotalTime>0</TotalTime>
  <ScaleCrop>false</ScaleCrop>
  <LinksUpToDate>false</LinksUpToDate>
  <CharactersWithSpaces>19884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2021-04-13T06:23:00Z</dcterms:created>
  <dc:creator>Sunflower.</dc:creator>
  <cp:lastModifiedBy>Shine</cp:lastModifiedBy>
  <cp:lastPrinted>2026-01-05T08:13:00Z</cp:lastPrinted>
  <dcterms:modified xsi:type="dcterms:W3CDTF">2026-01-13T08:15:38Z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585FC343B2BF490AAB5E3B30D59B7B91_13</vt:lpwstr>
  </property>
  <property fmtid="{D5CDD505-2E9C-101B-9397-08002B2CF9AE}" pid="4" name="KSOTemplateDocerSaveRecord">
    <vt:lpwstr>eyJoZGlkIjoiYjhkMzk4Y2RjMzkzODk5MGJjMWVlNzlhZjk5NmI2M2UiLCJ1c2VySWQiOiI5MjA2Njc1NzQifQ==</vt:lpwstr>
  </property>
</Properties>
</file>